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E3D6B">
      <w:pPr>
        <w:ind w:firstLine="1572"/>
        <w:rPr>
          <w:rFonts w:hint="eastAsia" w:ascii="宋体" w:hAnsi="宋体"/>
          <w:b/>
          <w:color w:val="auto"/>
          <w:w w:val="150"/>
          <w:sz w:val="52"/>
          <w:highlight w:val="none"/>
        </w:rPr>
      </w:pPr>
    </w:p>
    <w:p w14:paraId="5B6F5013">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55C7C49E">
      <w:pPr>
        <w:rPr>
          <w:rFonts w:hint="eastAsia" w:ascii="宋体" w:hAnsi="宋体"/>
          <w:b/>
          <w:bCs/>
          <w:color w:val="auto"/>
          <w:sz w:val="48"/>
          <w:szCs w:val="48"/>
          <w:highlight w:val="none"/>
        </w:rPr>
      </w:pPr>
    </w:p>
    <w:p w14:paraId="64940769">
      <w:pPr>
        <w:rPr>
          <w:rFonts w:hint="eastAsia" w:ascii="宋体" w:hAnsi="宋体"/>
          <w:color w:val="auto"/>
          <w:sz w:val="24"/>
          <w:highlight w:val="none"/>
        </w:rPr>
      </w:pPr>
    </w:p>
    <w:p w14:paraId="503C98AD">
      <w:pPr>
        <w:tabs>
          <w:tab w:val="left" w:pos="1140"/>
        </w:tabs>
        <w:ind w:firstLine="1510" w:firstLineChars="472"/>
        <w:rPr>
          <w:rFonts w:ascii="宋体" w:hAnsi="宋体"/>
          <w:color w:val="auto"/>
          <w:sz w:val="32"/>
          <w:highlight w:val="none"/>
        </w:rPr>
      </w:pPr>
    </w:p>
    <w:p w14:paraId="4AF2A728">
      <w:pPr>
        <w:pStyle w:val="14"/>
        <w:rPr>
          <w:color w:val="auto"/>
          <w:highlight w:val="none"/>
        </w:rPr>
      </w:pPr>
    </w:p>
    <w:p w14:paraId="6B7B8067">
      <w:pPr>
        <w:rPr>
          <w:color w:val="auto"/>
          <w:highlight w:val="none"/>
        </w:rPr>
      </w:pPr>
    </w:p>
    <w:p w14:paraId="2C6A0909">
      <w:pPr>
        <w:spacing w:line="360" w:lineRule="auto"/>
        <w:ind w:firstLine="1446" w:firstLineChars="400"/>
        <w:jc w:val="left"/>
        <w:rPr>
          <w:rFonts w:hint="default" w:ascii="宋体" w:hAnsi="宋体"/>
          <w:b/>
          <w:bCs/>
          <w:color w:val="auto"/>
          <w:sz w:val="32"/>
          <w:highlight w:val="none"/>
          <w:u w:val="singl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lang w:eastAsia="zh-CN"/>
        </w:rPr>
        <w:t>：</w:t>
      </w:r>
      <w:r>
        <w:rPr>
          <w:rFonts w:hint="eastAsia" w:ascii="宋体" w:hAnsi="宋体" w:eastAsia="宋体" w:cs="宋体"/>
          <w:b/>
          <w:bCs/>
          <w:i w:val="0"/>
          <w:iCs w:val="0"/>
          <w:caps w:val="0"/>
          <w:color w:val="333333"/>
          <w:spacing w:val="0"/>
          <w:sz w:val="36"/>
          <w:szCs w:val="36"/>
          <w:u w:val="single"/>
          <w:shd w:val="clear" w:fill="FFFFFF"/>
        </w:rPr>
        <w:t>HQZCCG202400</w:t>
      </w:r>
      <w:r>
        <w:rPr>
          <w:rFonts w:hint="eastAsia" w:ascii="宋体" w:hAnsi="宋体" w:eastAsia="宋体" w:cs="宋体"/>
          <w:b/>
          <w:bCs/>
          <w:i w:val="0"/>
          <w:iCs w:val="0"/>
          <w:caps w:val="0"/>
          <w:color w:val="333333"/>
          <w:spacing w:val="0"/>
          <w:sz w:val="36"/>
          <w:szCs w:val="36"/>
          <w:u w:val="single"/>
          <w:shd w:val="clear" w:fill="FFFFFF"/>
          <w:lang w:val="en-US" w:eastAsia="zh-CN"/>
        </w:rPr>
        <w:t xml:space="preserve">3 </w:t>
      </w:r>
    </w:p>
    <w:p w14:paraId="075BE93B">
      <w:pPr>
        <w:ind w:left="3243" w:leftChars="684" w:hanging="1807" w:hangingChars="500"/>
        <w:jc w:val="left"/>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lang w:eastAsia="zh-CN"/>
        </w:rPr>
        <w:t>：</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u w:val="single"/>
          <w:lang w:val="en-US" w:eastAsia="zh-CN"/>
        </w:rPr>
        <w:t xml:space="preserve">2024年泉州师范学院建筑电气消防安全检测服务采购项目 </w:t>
      </w:r>
    </w:p>
    <w:p w14:paraId="08571A87">
      <w:pPr>
        <w:rPr>
          <w:rFonts w:hint="eastAsia" w:ascii="宋体" w:hAnsi="宋体"/>
          <w:color w:val="auto"/>
          <w:sz w:val="24"/>
          <w:highlight w:val="none"/>
        </w:rPr>
      </w:pPr>
    </w:p>
    <w:p w14:paraId="3BA6A832">
      <w:pPr>
        <w:rPr>
          <w:rFonts w:hint="eastAsia" w:ascii="宋体" w:hAnsi="宋体"/>
          <w:color w:val="auto"/>
          <w:highlight w:val="none"/>
        </w:rPr>
      </w:pPr>
    </w:p>
    <w:p w14:paraId="34E6A6C2">
      <w:pPr>
        <w:rPr>
          <w:rFonts w:hint="eastAsia" w:ascii="宋体" w:hAnsi="宋体"/>
          <w:color w:val="auto"/>
          <w:highlight w:val="none"/>
        </w:rPr>
      </w:pPr>
    </w:p>
    <w:p w14:paraId="4D889309">
      <w:pPr>
        <w:rPr>
          <w:rFonts w:ascii="宋体" w:hAnsi="宋体"/>
          <w:color w:val="auto"/>
          <w:highlight w:val="none"/>
        </w:rPr>
      </w:pPr>
    </w:p>
    <w:p w14:paraId="58420DED">
      <w:pPr>
        <w:ind w:firstLine="1792" w:firstLineChars="498"/>
        <w:rPr>
          <w:rFonts w:hint="eastAsia" w:ascii="宋体" w:hAnsi="宋体"/>
          <w:color w:val="auto"/>
          <w:sz w:val="36"/>
          <w:highlight w:val="none"/>
        </w:rPr>
      </w:pPr>
    </w:p>
    <w:p w14:paraId="3F28C2D9">
      <w:pPr>
        <w:pStyle w:val="14"/>
        <w:rPr>
          <w:rFonts w:hint="eastAsia"/>
          <w:color w:val="auto"/>
          <w:highlight w:val="none"/>
        </w:rPr>
      </w:pPr>
    </w:p>
    <w:p w14:paraId="55437AE6">
      <w:pPr>
        <w:rPr>
          <w:rFonts w:hint="eastAsia" w:ascii="宋体" w:hAnsi="宋体"/>
          <w:color w:val="auto"/>
          <w:sz w:val="36"/>
          <w:highlight w:val="none"/>
        </w:rPr>
      </w:pPr>
    </w:p>
    <w:p w14:paraId="1BB7F699">
      <w:pPr>
        <w:jc w:val="center"/>
        <w:outlineLvl w:val="9"/>
        <w:rPr>
          <w:rFonts w:hint="default" w:ascii="宋体" w:hAnsi="宋体" w:eastAsia="宋体"/>
          <w:b/>
          <w:color w:val="000000" w:themeColor="text1"/>
          <w:sz w:val="36"/>
          <w:szCs w:val="36"/>
          <w:highlight w:val="none"/>
          <w:u w:val="none"/>
          <w:lang w:val="en-US" w:eastAsia="zh-CN"/>
          <w14:textFill>
            <w14:solidFill>
              <w14:schemeClr w14:val="tx1"/>
            </w14:solidFill>
          </w14:textFill>
        </w:rPr>
      </w:pPr>
      <w:r>
        <w:rPr>
          <w:rFonts w:hint="eastAsia" w:ascii="宋体" w:hAnsi="宋体"/>
          <w:b/>
          <w:color w:val="000000" w:themeColor="text1"/>
          <w:sz w:val="36"/>
          <w:szCs w:val="36"/>
          <w:highlight w:val="none"/>
          <w:u w:val="none"/>
          <w:lang w:val="en-US" w:eastAsia="zh-CN"/>
          <w14:textFill>
            <w14:solidFill>
              <w14:schemeClr w14:val="tx1"/>
            </w14:solidFill>
          </w14:textFill>
        </w:rPr>
        <w:t>泉州师范学院后勤管理处</w:t>
      </w:r>
    </w:p>
    <w:p w14:paraId="79A3051E">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2024</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4</w:t>
      </w:r>
      <w:r>
        <w:rPr>
          <w:rFonts w:hint="eastAsia" w:ascii="宋体" w:hAnsi="宋体"/>
          <w:b/>
          <w:color w:val="auto"/>
          <w:sz w:val="36"/>
          <w:szCs w:val="36"/>
          <w:highlight w:val="none"/>
        </w:rPr>
        <w:t>月</w:t>
      </w:r>
    </w:p>
    <w:p w14:paraId="3019085F">
      <w:pPr>
        <w:pStyle w:val="2"/>
        <w:rPr>
          <w:rFonts w:hint="eastAsia"/>
        </w:rPr>
      </w:pPr>
    </w:p>
    <w:p w14:paraId="402EB966">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23345AC4">
          <w:pPr>
            <w:spacing w:before="0" w:beforeLines="0" w:after="0" w:afterLines="0" w:line="240" w:lineRule="auto"/>
            <w:ind w:left="0" w:leftChars="0" w:right="0" w:rightChars="0" w:firstLine="0" w:firstLineChars="0"/>
            <w:jc w:val="center"/>
            <w:rPr>
              <w:color w:val="auto"/>
              <w:highlight w:val="none"/>
            </w:rPr>
          </w:pPr>
        </w:p>
        <w:p w14:paraId="4F0B888E">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21C9B1">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67D699">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67B44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D06AE78">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D91816">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D70BEA">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3313D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E75E3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AC611C">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F6E4C3">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60B92F2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5B29EF10">
      <w:pPr>
        <w:rPr>
          <w:rFonts w:hint="eastAsia"/>
          <w:color w:val="auto"/>
          <w:highlight w:val="none"/>
        </w:rPr>
      </w:pPr>
    </w:p>
    <w:p w14:paraId="2B74EBD7">
      <w:pPr>
        <w:rPr>
          <w:rFonts w:hint="eastAsia"/>
          <w:color w:val="auto"/>
          <w:highlight w:val="none"/>
        </w:rPr>
      </w:pPr>
    </w:p>
    <w:p w14:paraId="6434F86F">
      <w:pPr>
        <w:rPr>
          <w:rFonts w:hint="eastAsia"/>
          <w:color w:val="auto"/>
          <w:highlight w:val="none"/>
        </w:rPr>
      </w:pPr>
    </w:p>
    <w:p w14:paraId="1A806D43">
      <w:pPr>
        <w:rPr>
          <w:rFonts w:hint="eastAsia"/>
          <w:color w:val="auto"/>
          <w:highlight w:val="none"/>
        </w:rPr>
      </w:pPr>
    </w:p>
    <w:p w14:paraId="69489F02">
      <w:pPr>
        <w:rPr>
          <w:rFonts w:hint="eastAsia"/>
          <w:color w:val="auto"/>
          <w:highlight w:val="none"/>
        </w:rPr>
      </w:pPr>
    </w:p>
    <w:p w14:paraId="56419CF3">
      <w:pPr>
        <w:rPr>
          <w:rFonts w:hint="eastAsia"/>
          <w:color w:val="auto"/>
          <w:highlight w:val="none"/>
        </w:rPr>
      </w:pPr>
    </w:p>
    <w:p w14:paraId="7FBA3240">
      <w:pPr>
        <w:rPr>
          <w:rFonts w:hint="eastAsia"/>
          <w:color w:val="auto"/>
          <w:highlight w:val="none"/>
        </w:rPr>
      </w:pPr>
    </w:p>
    <w:p w14:paraId="2E9F6110">
      <w:pPr>
        <w:rPr>
          <w:rFonts w:hint="eastAsia"/>
          <w:color w:val="auto"/>
          <w:highlight w:val="none"/>
        </w:rPr>
      </w:pPr>
    </w:p>
    <w:p w14:paraId="3306201A">
      <w:pPr>
        <w:pStyle w:val="14"/>
        <w:rPr>
          <w:rFonts w:hint="eastAsia"/>
          <w:color w:val="auto"/>
          <w:highlight w:val="none"/>
        </w:rPr>
      </w:pPr>
    </w:p>
    <w:p w14:paraId="09A28B3D">
      <w:pPr>
        <w:rPr>
          <w:rFonts w:hint="eastAsia"/>
          <w:color w:val="auto"/>
          <w:highlight w:val="none"/>
        </w:rPr>
      </w:pPr>
    </w:p>
    <w:p w14:paraId="6B65DBDD">
      <w:pPr>
        <w:pStyle w:val="14"/>
        <w:rPr>
          <w:rFonts w:hint="eastAsia"/>
          <w:color w:val="auto"/>
          <w:highlight w:val="none"/>
        </w:rPr>
      </w:pPr>
    </w:p>
    <w:p w14:paraId="56243E31">
      <w:pPr>
        <w:rPr>
          <w:rFonts w:hint="eastAsia"/>
          <w:color w:val="auto"/>
          <w:highlight w:val="none"/>
        </w:rPr>
      </w:pPr>
    </w:p>
    <w:p w14:paraId="35A1A6E0">
      <w:pPr>
        <w:pStyle w:val="2"/>
        <w:rPr>
          <w:rFonts w:hint="eastAsia"/>
          <w:color w:val="auto"/>
          <w:highlight w:val="none"/>
        </w:rPr>
      </w:pPr>
    </w:p>
    <w:p w14:paraId="6DD842E3">
      <w:pPr>
        <w:pStyle w:val="2"/>
        <w:rPr>
          <w:rFonts w:hint="eastAsia"/>
          <w:color w:val="auto"/>
          <w:highlight w:val="none"/>
        </w:rPr>
      </w:pPr>
    </w:p>
    <w:p w14:paraId="4606D08D">
      <w:pPr>
        <w:pStyle w:val="2"/>
        <w:rPr>
          <w:rFonts w:hint="eastAsia"/>
          <w:color w:val="auto"/>
          <w:highlight w:val="none"/>
        </w:rPr>
      </w:pPr>
    </w:p>
    <w:p w14:paraId="2E3440F7">
      <w:pPr>
        <w:pStyle w:val="2"/>
        <w:rPr>
          <w:rFonts w:hint="eastAsia"/>
          <w:color w:val="auto"/>
          <w:highlight w:val="none"/>
        </w:rPr>
      </w:pPr>
    </w:p>
    <w:p w14:paraId="14CCAA4D">
      <w:pPr>
        <w:pStyle w:val="2"/>
        <w:rPr>
          <w:rFonts w:hint="eastAsia"/>
          <w:color w:val="auto"/>
          <w:highlight w:val="none"/>
        </w:rPr>
      </w:pPr>
    </w:p>
    <w:p w14:paraId="4A95E746">
      <w:pPr>
        <w:pStyle w:val="2"/>
        <w:rPr>
          <w:rFonts w:hint="eastAsia"/>
          <w:color w:val="auto"/>
          <w:highlight w:val="none"/>
        </w:rPr>
      </w:pPr>
    </w:p>
    <w:p w14:paraId="2C466F0E">
      <w:pPr>
        <w:pStyle w:val="2"/>
        <w:rPr>
          <w:rFonts w:hint="eastAsia"/>
          <w:color w:val="auto"/>
          <w:highlight w:val="none"/>
        </w:rPr>
      </w:pPr>
    </w:p>
    <w:p w14:paraId="5B322EDF">
      <w:pPr>
        <w:pStyle w:val="3"/>
        <w:spacing w:before="0" w:after="0" w:line="360" w:lineRule="auto"/>
        <w:jc w:val="center"/>
        <w:rPr>
          <w:rFonts w:hint="eastAsia" w:ascii="宋体" w:hAnsi="宋体" w:eastAsia="宋体"/>
          <w:color w:val="auto"/>
          <w:sz w:val="36"/>
          <w:szCs w:val="36"/>
          <w:highlight w:val="none"/>
        </w:rPr>
      </w:pPr>
      <w:bookmarkStart w:id="0" w:name="_Toc18223"/>
      <w:bookmarkStart w:id="1" w:name="_Toc10914"/>
      <w:bookmarkStart w:id="2" w:name="_Toc26208"/>
      <w:bookmarkStart w:id="3" w:name="_Toc134733479"/>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46336D0B">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000000" w:themeColor="text1"/>
          <w:sz w:val="24"/>
          <w:szCs w:val="24"/>
          <w:highlight w:val="none"/>
          <w14:textFill>
            <w14:solidFill>
              <w14:schemeClr w14:val="tx1"/>
            </w14:solidFill>
          </w14:textFill>
        </w:rPr>
      </w:pPr>
      <w:bookmarkStart w:id="5" w:name="_Toc54513051"/>
      <w:bookmarkStart w:id="6" w:name="_Toc35622007"/>
      <w:bookmarkStart w:id="7" w:name="_Toc108257590"/>
      <w:bookmarkStart w:id="8" w:name="_Toc3785637"/>
      <w:bookmarkStart w:id="9" w:name="_Toc34789935"/>
      <w:bookmarkStart w:id="10" w:name="_Toc35941127"/>
      <w:bookmarkStart w:id="11" w:name="_Toc35107772"/>
      <w:bookmarkStart w:id="12" w:name="_Toc105389203"/>
      <w:bookmarkStart w:id="13" w:name="_Toc53335577"/>
      <w:bookmarkStart w:id="14" w:name="_Toc108257116"/>
      <w:bookmarkStart w:id="15" w:name="_Toc93397582"/>
      <w:bookmarkStart w:id="16" w:name="_Toc108257466"/>
      <w:bookmarkStart w:id="17" w:name="_Toc34703823"/>
      <w:bookmarkStart w:id="18" w:name="_Toc35599967"/>
      <w:bookmarkStart w:id="19" w:name="_Toc40761347"/>
      <w:bookmarkStart w:id="20" w:name="_Toc53570175"/>
      <w:bookmarkStart w:id="21" w:name="_Toc35742634"/>
      <w:bookmarkStart w:id="22" w:name="_Toc93397984"/>
      <w:bookmarkStart w:id="23" w:name="_Toc3785461"/>
      <w:bookmarkStart w:id="24" w:name="_Toc3785513"/>
      <w:bookmarkStart w:id="25" w:name="_Toc35071897"/>
      <w:bookmarkStart w:id="26" w:name="_Toc3785675"/>
      <w:bookmarkStart w:id="27" w:name="_Toc425276503"/>
      <w:bookmarkStart w:id="28" w:name="_Toc33775520"/>
      <w:bookmarkStart w:id="29" w:name="_Toc35222536"/>
      <w:bookmarkStart w:id="30" w:name="_Toc36123671"/>
      <w:bookmarkStart w:id="31" w:name="_Toc35068743"/>
      <w:bookmarkStart w:id="32" w:name="_Toc34664278"/>
      <w:bookmarkStart w:id="33" w:name="_Toc98731630"/>
      <w:bookmarkStart w:id="34" w:name="_Toc98672988"/>
      <w:bookmarkStart w:id="35" w:name="_Toc108260365"/>
      <w:bookmarkStart w:id="36" w:name="_Toc36146204"/>
      <w:bookmarkStart w:id="37" w:name="_Toc34745149"/>
      <w:bookmarkStart w:id="38" w:name="_Toc108257397"/>
      <w:bookmarkStart w:id="39" w:name="_Toc60130052"/>
      <w:bookmarkStart w:id="40" w:name="_Toc87857945"/>
      <w:bookmarkStart w:id="41" w:name="_Toc33953164"/>
      <w:r>
        <w:rPr>
          <w:rFonts w:hint="eastAsia" w:ascii="宋体" w:hAnsi="宋体"/>
          <w:i w:val="0"/>
          <w:iCs w:val="0"/>
          <w:color w:val="000000" w:themeColor="text1"/>
          <w:sz w:val="24"/>
          <w:szCs w:val="24"/>
          <w:highlight w:val="none"/>
          <w:u w:val="single"/>
          <w:lang w:val="en-US" w:eastAsia="zh-CN"/>
          <w14:textFill>
            <w14:solidFill>
              <w14:schemeClr w14:val="tx1"/>
            </w14:solidFill>
          </w14:textFill>
        </w:rPr>
        <w:t xml:space="preserve"> 泉州师范学院后勤管理处 </w:t>
      </w:r>
      <w:r>
        <w:rPr>
          <w:rFonts w:hint="eastAsia" w:ascii="宋体" w:hAnsi="宋体"/>
          <w:i w:val="0"/>
          <w:iCs w:val="0"/>
          <w:color w:val="000000" w:themeColor="text1"/>
          <w:spacing w:val="-6"/>
          <w:sz w:val="24"/>
          <w:szCs w:val="24"/>
          <w:highlight w:val="none"/>
          <w14:textFill>
            <w14:solidFill>
              <w14:schemeClr w14:val="tx1"/>
            </w14:solidFill>
          </w14:textFill>
        </w:rPr>
        <w:t>以</w:t>
      </w:r>
      <w:r>
        <w:rPr>
          <w:rFonts w:hint="eastAsia" w:ascii="宋体" w:hAnsi="宋体"/>
          <w:i w:val="0"/>
          <w:iCs w:val="0"/>
          <w:color w:val="000000" w:themeColor="text1"/>
          <w:spacing w:val="-6"/>
          <w:sz w:val="24"/>
          <w:szCs w:val="24"/>
          <w:highlight w:val="none"/>
          <w:u w:val="single"/>
          <w14:textFill>
            <w14:solidFill>
              <w14:schemeClr w14:val="tx1"/>
            </w14:solidFill>
          </w14:textFill>
        </w:rPr>
        <w:t xml:space="preserve"> </w:t>
      </w:r>
      <w:r>
        <w:rPr>
          <w:rFonts w:hint="eastAsia" w:ascii="宋体" w:hAnsi="宋体"/>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
          <w:bCs/>
          <w:i w:val="0"/>
          <w:iCs w:val="0"/>
          <w:color w:val="000000" w:themeColor="text1"/>
          <w:spacing w:val="-6"/>
          <w:sz w:val="24"/>
          <w:szCs w:val="24"/>
          <w:highlight w:val="none"/>
          <w:u w:val="single"/>
          <w14:textFill>
            <w14:solidFill>
              <w14:schemeClr w14:val="tx1"/>
            </w14:solidFill>
          </w14:textFill>
        </w:rPr>
        <w:t>询价</w:t>
      </w:r>
      <w:r>
        <w:rPr>
          <w:rFonts w:hint="eastAsia" w:ascii="宋体" w:hAnsi="宋体"/>
          <w:b/>
          <w:bCs/>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Cs/>
          <w:i w:val="0"/>
          <w:iCs w:val="0"/>
          <w:color w:val="000000" w:themeColor="text1"/>
          <w:spacing w:val="-6"/>
          <w:sz w:val="24"/>
          <w:szCs w:val="24"/>
          <w:highlight w:val="none"/>
          <w14:textFill>
            <w14:solidFill>
              <w14:schemeClr w14:val="tx1"/>
            </w14:solidFill>
          </w14:textFill>
        </w:rPr>
        <w:t>的</w:t>
      </w:r>
      <w:r>
        <w:rPr>
          <w:rFonts w:hint="eastAsia" w:ascii="宋体" w:hAnsi="宋体"/>
          <w:i w:val="0"/>
          <w:iCs w:val="0"/>
          <w:color w:val="000000" w:themeColor="text1"/>
          <w:spacing w:val="-6"/>
          <w:sz w:val="24"/>
          <w:szCs w:val="24"/>
          <w:highlight w:val="none"/>
          <w14:textFill>
            <w14:solidFill>
              <w14:schemeClr w14:val="tx1"/>
            </w14:solidFill>
          </w14:textFill>
        </w:rPr>
        <w:t>方式对以下项目进行采购，欢迎</w:t>
      </w:r>
      <w:r>
        <w:rPr>
          <w:rFonts w:hint="eastAsia" w:ascii="宋体" w:hAnsi="宋体"/>
          <w:i w:val="0"/>
          <w:iCs w:val="0"/>
          <w:color w:val="000000" w:themeColor="text1"/>
          <w:spacing w:val="-6"/>
          <w:sz w:val="24"/>
          <w:szCs w:val="24"/>
          <w:highlight w:val="none"/>
          <w:lang w:eastAsia="zh-CN"/>
          <w14:textFill>
            <w14:solidFill>
              <w14:schemeClr w14:val="tx1"/>
            </w14:solidFill>
          </w14:textFill>
        </w:rPr>
        <w:t>合格的受邀</w:t>
      </w:r>
      <w:r>
        <w:rPr>
          <w:rFonts w:hint="eastAsia" w:ascii="宋体" w:hAnsi="宋体"/>
          <w:i w:val="0"/>
          <w:iCs w:val="0"/>
          <w:color w:val="000000" w:themeColor="text1"/>
          <w:spacing w:val="-6"/>
          <w:sz w:val="24"/>
          <w:szCs w:val="24"/>
          <w:highlight w:val="none"/>
          <w14:textFill>
            <w14:solidFill>
              <w14:schemeClr w14:val="tx1"/>
            </w14:solidFill>
          </w14:textFill>
        </w:rPr>
        <w:t>供应商参加报价。</w:t>
      </w:r>
    </w:p>
    <w:p w14:paraId="4BD4409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w:t>
      </w:r>
      <w:r>
        <w:rPr>
          <w:rFonts w:hint="eastAsia" w:ascii="宋体" w:hAnsi="宋体"/>
          <w:color w:val="000000" w:themeColor="text1"/>
          <w:sz w:val="24"/>
          <w:szCs w:val="24"/>
          <w:highlight w:val="none"/>
          <w:lang w:eastAsia="zh-CN"/>
          <w14:textFill>
            <w14:solidFill>
              <w14:schemeClr w14:val="tx1"/>
            </w14:solidFill>
          </w14:textFill>
        </w:rPr>
        <w:t>项目基本情况</w:t>
      </w:r>
    </w:p>
    <w:p w14:paraId="72A08D6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采购编号：</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i w:val="0"/>
          <w:iCs w:val="0"/>
          <w:caps w:val="0"/>
          <w:color w:val="333333"/>
          <w:spacing w:val="0"/>
          <w:sz w:val="24"/>
          <w:szCs w:val="24"/>
          <w:u w:val="single"/>
          <w:shd w:val="clear" w:fill="FFFFFF"/>
        </w:rPr>
        <w:t>HQZCCG202400</w:t>
      </w:r>
      <w:r>
        <w:rPr>
          <w:rFonts w:hint="eastAsia" w:ascii="宋体" w:hAnsi="宋体" w:eastAsia="宋体" w:cs="宋体"/>
          <w:b w:val="0"/>
          <w:bCs/>
          <w:i w:val="0"/>
          <w:iCs w:val="0"/>
          <w:caps w:val="0"/>
          <w:color w:val="333333"/>
          <w:spacing w:val="0"/>
          <w:sz w:val="24"/>
          <w:szCs w:val="24"/>
          <w:u w:val="single"/>
          <w:shd w:val="clear" w:fill="FFFFFF"/>
          <w:lang w:val="en-US" w:eastAsia="zh-CN"/>
        </w:rPr>
        <w:t>3</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p>
    <w:p w14:paraId="68EC7DF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u w:val="single"/>
          <w14:textFill>
            <w14:solidFill>
              <w14:schemeClr w14:val="tx1"/>
            </w14:solidFill>
          </w14:textFill>
        </w:rPr>
        <w:t>2024年泉州师范学院建筑电气消防安全检测服务采购</w:t>
      </w:r>
      <w:r>
        <w:rPr>
          <w:rFonts w:hint="eastAsia" w:ascii="宋体" w:hAnsi="宋体"/>
          <w:color w:val="000000" w:themeColor="text1"/>
          <w:sz w:val="24"/>
          <w:szCs w:val="24"/>
          <w:highlight w:val="none"/>
          <w:u w:val="single"/>
          <w:lang w:eastAsia="zh-CN"/>
          <w14:textFill>
            <w14:solidFill>
              <w14:schemeClr w14:val="tx1"/>
            </w14:solidFill>
          </w14:textFill>
        </w:rPr>
        <w:t>项目</w:t>
      </w:r>
    </w:p>
    <w:p w14:paraId="212E25D7">
      <w:pPr>
        <w:pStyle w:val="2"/>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预算金额：</w:t>
      </w:r>
      <w:r>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 人民币玖万陆仟肆佰零伍元整（￥96405.00） </w:t>
      </w:r>
    </w:p>
    <w:p w14:paraId="0F2F5E28">
      <w:pPr>
        <w:keepNext w:val="0"/>
        <w:keepLines w:val="0"/>
        <w:pageBreakBefore w:val="0"/>
        <w:widowControl w:val="0"/>
        <w:kinsoku/>
        <w:wordWrap/>
        <w:overflowPunct/>
        <w:topLinePunct w:val="0"/>
        <w:autoSpaceDE/>
        <w:autoSpaceDN/>
        <w:bidi w:val="0"/>
        <w:adjustRightInd/>
        <w:snapToGrid/>
        <w:spacing w:after="157" w:afterLines="50" w:line="400" w:lineRule="exact"/>
        <w:ind w:firstLine="480" w:firstLineChars="200"/>
        <w:jc w:val="both"/>
        <w:textAlignment w:val="auto"/>
        <w:outlineLvl w:val="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bookmarkStart w:id="42" w:name="_Toc26626"/>
      <w:bookmarkStart w:id="43" w:name="_Toc13469"/>
      <w:bookmarkStart w:id="44" w:name="_Toc491700004"/>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采购需求</w:t>
      </w:r>
      <w:bookmarkEnd w:id="42"/>
      <w:bookmarkEnd w:id="43"/>
      <w:bookmarkEnd w:id="44"/>
      <w:r>
        <w:rPr>
          <w:rFonts w:hint="eastAsia" w:ascii="宋体" w:hAnsi="宋体" w:cs="Times New Roman"/>
          <w:color w:val="000000" w:themeColor="text1"/>
          <w:kern w:val="2"/>
          <w:sz w:val="24"/>
          <w:szCs w:val="24"/>
          <w:highlight w:val="none"/>
          <w:lang w:val="en-US" w:eastAsia="zh-CN" w:bidi="ar-SA"/>
          <w14:textFill>
            <w14:solidFill>
              <w14:schemeClr w14:val="tx1"/>
            </w14:solidFill>
          </w14:textFill>
        </w:rPr>
        <w:t>：</w:t>
      </w:r>
    </w:p>
    <w:tbl>
      <w:tblPr>
        <w:tblStyle w:val="17"/>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3FD10A9E">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633778">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361DB49">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978173">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000000" w:themeColor="text1"/>
                <w:highlight w:val="none"/>
                <w:lang w:val="en-US" w:eastAsia="zh-CN"/>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数量</w:t>
            </w:r>
            <w:r>
              <w:rPr>
                <w:rFonts w:hint="eastAsia" w:ascii="宋体" w:hAnsi="宋体"/>
                <w:b/>
                <w:bCs/>
                <w:color w:val="000000" w:themeColor="text1"/>
                <w:highlight w:val="none"/>
                <w:lang w:val="en-US" w:eastAsia="zh-CN"/>
                <w14:textFill>
                  <w14:solidFill>
                    <w14:schemeClr w14:val="tx1"/>
                  </w14:solidFill>
                </w14:textFill>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11A0A69">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B10D997">
            <w:pPr>
              <w:pStyle w:val="13"/>
              <w:keepNext w:val="0"/>
              <w:keepLines w:val="0"/>
              <w:pageBreakBefore w:val="0"/>
              <w:widowControl/>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询价内容及</w:t>
            </w:r>
            <w:r>
              <w:rPr>
                <w:rFonts w:hint="eastAsia" w:ascii="宋体" w:hAnsi="宋体"/>
                <w:b/>
                <w:bCs/>
                <w:color w:val="000000" w:themeColor="text1"/>
                <w:highlight w:val="none"/>
                <w14:textFill>
                  <w14:solidFill>
                    <w14:schemeClr w14:val="tx1"/>
                  </w14:solidFill>
                </w14:textFill>
              </w:rPr>
              <w:t>要求</w:t>
            </w:r>
          </w:p>
        </w:tc>
      </w:tr>
      <w:tr w14:paraId="3C5E7402">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467FFF">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2823B2">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eastAsia="宋体"/>
                <w:color w:val="000000" w:themeColor="text1"/>
                <w:highlight w:val="none"/>
                <w:lang w:eastAsia="zh-CN"/>
                <w14:textFill>
                  <w14:solidFill>
                    <w14:schemeClr w14:val="tx1"/>
                  </w14:solidFill>
                </w14:textFill>
              </w:rPr>
              <w:t>2024年泉州师范学院建筑电气消防安全检测服务采购</w:t>
            </w:r>
            <w:r>
              <w:rPr>
                <w:rFonts w:hint="eastAsia" w:ascii="宋体" w:hAnsi="宋体"/>
                <w:color w:val="000000" w:themeColor="text1"/>
                <w:highlight w:val="none"/>
                <w:lang w:eastAsia="zh-CN"/>
                <w14:textFill>
                  <w14:solidFill>
                    <w14:schemeClr w14:val="tx1"/>
                  </w14:solidFill>
                </w14:textFill>
              </w:rPr>
              <w:t>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B5EEE2B">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一项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B7CAA9F">
            <w:pPr>
              <w:pStyle w:val="13"/>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96405.00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EA0AC4">
            <w:pPr>
              <w:pStyle w:val="13"/>
              <w:keepNext w:val="0"/>
              <w:keepLines w:val="0"/>
              <w:pageBreakBefore w:val="0"/>
              <w:widowControl/>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详见询价文件第</w:t>
            </w:r>
            <w:r>
              <w:rPr>
                <w:rFonts w:hint="eastAsia" w:ascii="宋体" w:hAnsi="宋体"/>
                <w:color w:val="000000" w:themeColor="text1"/>
                <w:highlight w:val="none"/>
                <w:lang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部分要求</w:t>
            </w:r>
          </w:p>
        </w:tc>
      </w:tr>
    </w:tbl>
    <w:p w14:paraId="603F3FB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w:t>
      </w:r>
      <w:r>
        <w:rPr>
          <w:rFonts w:hint="eastAsia" w:ascii="宋体" w:hAnsi="宋体"/>
          <w:color w:val="auto"/>
          <w:sz w:val="24"/>
          <w:szCs w:val="24"/>
          <w:highlight w:val="none"/>
          <w:lang w:eastAsia="zh-CN"/>
        </w:rPr>
        <w:t>服务报价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276F30DF">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264D7F9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15506DD2">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3F18C25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2024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4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25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9:00 </w:t>
      </w:r>
      <w:r>
        <w:rPr>
          <w:rFonts w:hint="eastAsia" w:ascii="宋体" w:hAnsi="宋体"/>
          <w:color w:val="000000" w:themeColor="text1"/>
          <w:sz w:val="24"/>
          <w:szCs w:val="24"/>
          <w:highlight w:val="none"/>
          <w14:textFill>
            <w14:solidFill>
              <w14:schemeClr w14:val="tx1"/>
            </w14:solidFill>
          </w14:textFill>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6F8AC10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2024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4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25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9:30 </w:t>
      </w:r>
      <w:r>
        <w:rPr>
          <w:rFonts w:hint="eastAsia" w:ascii="宋体" w:hAnsi="宋体"/>
          <w:color w:val="000000" w:themeColor="text1"/>
          <w:sz w:val="24"/>
          <w:szCs w:val="24"/>
          <w:highlight w:val="none"/>
          <w14:textFill>
            <w14:solidFill>
              <w14:schemeClr w14:val="tx1"/>
            </w14:solidFill>
          </w14:textFill>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2818C729">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non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p>
    <w:p w14:paraId="2D3B820F">
      <w:pPr>
        <w:pStyle w:val="2"/>
        <w:keepNext w:val="0"/>
        <w:keepLines w:val="0"/>
        <w:pageBreakBefore w:val="0"/>
        <w:kinsoku/>
        <w:wordWrap/>
        <w:overflowPunct/>
        <w:topLinePunct w:val="0"/>
        <w:bidi w:val="0"/>
        <w:snapToGrid/>
        <w:spacing w:line="400" w:lineRule="exact"/>
        <w:ind w:firstLine="48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sz w:val="24"/>
          <w:szCs w:val="24"/>
          <w:highlight w:val="none"/>
          <w:u w:val="none"/>
          <w:lang w:val="en-US" w:eastAsia="zh-CN"/>
        </w:rPr>
        <w:t>凡有意参加投标者，请于公告挂网时间至2024年04月24日下午17：00时（以收到邮件时间为准）</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，将投标人资格要求中所有相关资料复印件加盖公章扫描成PDF后通过电子邮箱将报名资料发送至采购人邮箱（houqin@qztc.edu.cn）进行报名登记。</w:t>
      </w:r>
    </w:p>
    <w:p w14:paraId="5129139F">
      <w:pPr>
        <w:pStyle w:val="2"/>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报名提交材料包括报名登记表、</w:t>
      </w:r>
      <w:r>
        <w:rPr>
          <w:rFonts w:hint="eastAsia" w:ascii="宋体" w:hAnsi="宋体" w:eastAsia="宋体" w:cs="宋体"/>
          <w:color w:val="auto"/>
          <w:sz w:val="24"/>
          <w:highlight w:val="none"/>
        </w:rPr>
        <w:t>合格有效的营业执照</w:t>
      </w:r>
      <w:r>
        <w:rPr>
          <w:rFonts w:hint="eastAsia" w:ascii="宋体" w:hAnsi="宋体" w:eastAsia="宋体" w:cs="宋体"/>
          <w:color w:val="auto"/>
          <w:sz w:val="24"/>
          <w:highlight w:val="none"/>
          <w:lang w:eastAsia="zh-CN"/>
        </w:rPr>
        <w:t>扫描件、</w:t>
      </w:r>
      <w:r>
        <w:rPr>
          <w:rFonts w:hint="eastAsia" w:ascii="宋体" w:hAnsi="宋体" w:eastAsia="宋体" w:cs="宋体"/>
          <w:color w:val="000000" w:themeColor="text1"/>
          <w:sz w:val="24"/>
          <w:szCs w:val="24"/>
          <w:highlight w:val="none"/>
          <w:lang w:val="en-US" w:eastAsia="zh-CN"/>
          <w14:textFill>
            <w14:solidFill>
              <w14:schemeClr w14:val="tx1"/>
            </w14:solidFill>
          </w14:textFill>
        </w:rPr>
        <w:t>国家能源局颁发的</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承装（修、试）电力设施</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四级及以上许可证扫描件</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w:t>
      </w:r>
    </w:p>
    <w:p w14:paraId="5D6D0F59">
      <w:pPr>
        <w:pStyle w:val="2"/>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报名资料不作为资格审查依据，资格审查由评标委员会在评标现场进行，投标人的资格条件不符参与投标造成的损失采购人概不负责。</w:t>
      </w:r>
    </w:p>
    <w:p w14:paraId="66DB0E2E">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询价地点：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泉州师范学院文科教学楼A栋117室</w:t>
      </w:r>
      <w:r>
        <w:rPr>
          <w:rFonts w:hint="eastAsia" w:ascii="宋体" w:hAnsi="宋体"/>
          <w:i w:val="0"/>
          <w:iCs w:val="0"/>
          <w:color w:val="000000" w:themeColor="text1"/>
          <w:sz w:val="24"/>
          <w:szCs w:val="24"/>
          <w:highlight w:val="none"/>
          <w:u w:val="none"/>
          <w:lang w:val="en-US" w:eastAsia="zh-CN"/>
          <w14:textFill>
            <w14:solidFill>
              <w14:schemeClr w14:val="tx1"/>
            </w14:solidFill>
          </w14:textFill>
        </w:rPr>
        <w:t>。</w:t>
      </w:r>
    </w:p>
    <w:p w14:paraId="2CD76298">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六</w:t>
      </w: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凡对本次招标有疑义的，请以信函、电话、传真或来人与我</w:t>
      </w:r>
      <w:r>
        <w:rPr>
          <w:rFonts w:hint="eastAsia" w:ascii="宋体" w:hAnsi="宋体"/>
          <w:color w:val="000000" w:themeColor="text1"/>
          <w:sz w:val="24"/>
          <w:szCs w:val="24"/>
          <w:highlight w:val="none"/>
          <w:lang w:val="en-US" w:eastAsia="zh-CN"/>
          <w14:textFill>
            <w14:solidFill>
              <w14:schemeClr w14:val="tx1"/>
            </w14:solidFill>
          </w14:textFill>
        </w:rPr>
        <w:t>校</w:t>
      </w:r>
      <w:r>
        <w:rPr>
          <w:rFonts w:hint="eastAsia" w:ascii="宋体" w:hAnsi="宋体"/>
          <w:color w:val="000000" w:themeColor="text1"/>
          <w:sz w:val="24"/>
          <w:szCs w:val="24"/>
          <w:highlight w:val="none"/>
          <w14:textFill>
            <w14:solidFill>
              <w14:schemeClr w14:val="tx1"/>
            </w14:solidFill>
          </w14:textFill>
        </w:rPr>
        <w:t>联系，联系人：</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陈老师 </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联系电话：</w:t>
      </w:r>
      <w:r>
        <w:rPr>
          <w:rFonts w:hint="eastAsia" w:ascii="宋体" w:hAnsi="宋体" w:cs="宋体"/>
          <w:color w:val="000000" w:themeColor="text1"/>
          <w:sz w:val="24"/>
          <w:szCs w:val="24"/>
          <w:u w:val="single"/>
          <w:lang w:val="en-US" w:eastAsia="zh-CN"/>
          <w14:textFill>
            <w14:solidFill>
              <w14:schemeClr w14:val="tx1"/>
            </w14:solidFill>
          </w14:textFill>
        </w:rPr>
        <w:t xml:space="preserve"> 0595-22919817 </w:t>
      </w:r>
      <w:r>
        <w:rPr>
          <w:rFonts w:hint="eastAsia" w:ascii="宋体" w:hAnsi="宋体" w:cs="宋体"/>
          <w:color w:val="000000" w:themeColor="text1"/>
          <w:kern w:val="2"/>
          <w:sz w:val="24"/>
          <w:szCs w:val="24"/>
          <w:highlight w:val="none"/>
          <w:lang w:val="zh-CN" w:eastAsia="zh-CN" w:bidi="ar-SA"/>
          <w14:textFill>
            <w14:solidFill>
              <w14:schemeClr w14:val="tx1"/>
            </w14:solidFill>
          </w14:textFill>
        </w:rPr>
        <w:t>。</w:t>
      </w:r>
    </w:p>
    <w:p w14:paraId="4B28D743">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3E91C4CB">
      <w:pPr>
        <w:adjustRightInd w:val="0"/>
        <w:snapToGrid w:val="0"/>
        <w:spacing w:line="440" w:lineRule="exact"/>
        <w:ind w:firstLine="723" w:firstLineChars="200"/>
        <w:jc w:val="center"/>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37ED7833">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3C11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3922277">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167457B5">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689D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1FA7947">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1DB63258">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000000" w:themeColor="text1"/>
                <w:sz w:val="24"/>
                <w:szCs w:val="24"/>
                <w:highlight w:val="none"/>
                <w:u w:val="single"/>
                <w:lang w:val="en-US" w:eastAsia="zh-CN"/>
                <w14:textFill>
                  <w14:solidFill>
                    <w14:schemeClr w14:val="tx1"/>
                  </w14:solidFill>
                </w14:textFill>
              </w:rPr>
            </w:pPr>
            <w:r>
              <w:rPr>
                <w:rFonts w:hint="eastAsia" w:ascii="宋体" w:hAnsi="宋体"/>
                <w:i w:val="0"/>
                <w:iCs w:val="0"/>
                <w:color w:val="000000" w:themeColor="text1"/>
                <w:sz w:val="24"/>
                <w:szCs w:val="24"/>
                <w:highlight w:val="none"/>
                <w:u w:val="single"/>
                <w:lang w:val="en-US" w:eastAsia="zh-CN"/>
                <w14:textFill>
                  <w14:solidFill>
                    <w14:schemeClr w14:val="tx1"/>
                  </w14:solidFill>
                </w14:textFill>
              </w:rPr>
              <w:t>泉州师范学院后勤管理处</w:t>
            </w:r>
          </w:p>
          <w:p w14:paraId="62A0E790">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6055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463F179">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7632AC4F">
            <w:pPr>
              <w:keepNext w:val="0"/>
              <w:keepLines w:val="0"/>
              <w:pageBreakBefore w:val="0"/>
              <w:widowControl w:val="0"/>
              <w:kinsoku/>
              <w:wordWrap/>
              <w:overflowPunct/>
              <w:topLinePunct w:val="0"/>
              <w:bidi w:val="0"/>
              <w:snapToGrid/>
              <w:spacing w:line="360" w:lineRule="auto"/>
              <w:textAlignment w:val="auto"/>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49E657BB">
            <w:pPr>
              <w:pStyle w:val="16"/>
              <w:keepNext w:val="0"/>
              <w:keepLines w:val="0"/>
              <w:pageBreakBefore w:val="0"/>
              <w:widowControl w:val="0"/>
              <w:kinsoku/>
              <w:wordWrap/>
              <w:overflowPunct/>
              <w:topLinePunct w:val="0"/>
              <w:bidi w:val="0"/>
              <w:snapToGrid/>
              <w:spacing w:after="0" w:line="360" w:lineRule="auto"/>
              <w:ind w:firstLine="0" w:firstLineChars="0"/>
              <w:textAlignment w:val="auto"/>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5CF62F6C">
            <w:pPr>
              <w:pStyle w:val="16"/>
              <w:keepNext w:val="0"/>
              <w:keepLines w:val="0"/>
              <w:pageBreakBefore w:val="0"/>
              <w:widowControl w:val="0"/>
              <w:kinsoku/>
              <w:wordWrap/>
              <w:overflowPunct/>
              <w:topLinePunct w:val="0"/>
              <w:bidi w:val="0"/>
              <w:snapToGrid/>
              <w:spacing w:after="0" w:line="360" w:lineRule="auto"/>
              <w:ind w:firstLine="0" w:firstLineChars="0"/>
              <w:textAlignment w:val="auto"/>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5A10DF27">
            <w:pPr>
              <w:pStyle w:val="16"/>
              <w:keepNext w:val="0"/>
              <w:keepLines w:val="0"/>
              <w:pageBreakBefore w:val="0"/>
              <w:widowControl w:val="0"/>
              <w:kinsoku/>
              <w:wordWrap/>
              <w:overflowPunct/>
              <w:topLinePunct w:val="0"/>
              <w:bidi w:val="0"/>
              <w:snapToGrid/>
              <w:spacing w:after="0" w:line="360" w:lineRule="auto"/>
              <w:ind w:firstLine="0" w:firstLineChars="0"/>
              <w:textAlignment w:val="auto"/>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5387CCD4">
            <w:pPr>
              <w:pStyle w:val="16"/>
              <w:keepNext w:val="0"/>
              <w:keepLines w:val="0"/>
              <w:pageBreakBefore w:val="0"/>
              <w:widowControl w:val="0"/>
              <w:kinsoku/>
              <w:wordWrap/>
              <w:overflowPunct/>
              <w:topLinePunct w:val="0"/>
              <w:bidi w:val="0"/>
              <w:snapToGrid/>
              <w:spacing w:after="0" w:line="360" w:lineRule="auto"/>
              <w:ind w:firstLine="0" w:firstLineChars="0"/>
              <w:textAlignment w:val="auto"/>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1DEAD066">
            <w:pPr>
              <w:pStyle w:val="16"/>
              <w:keepNext w:val="0"/>
              <w:keepLines w:val="0"/>
              <w:pageBreakBefore w:val="0"/>
              <w:widowControl w:val="0"/>
              <w:kinsoku/>
              <w:wordWrap/>
              <w:overflowPunct/>
              <w:topLinePunct w:val="0"/>
              <w:bidi w:val="0"/>
              <w:snapToGrid/>
              <w:spacing w:after="0" w:line="360" w:lineRule="auto"/>
              <w:ind w:firstLine="0" w:firstLineChars="0"/>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5、具有良好的商业信誉和健全的财务会计制度：投标人是法人的提供2022年度经审计的财务报告或 2023年以来基本开户银行出具的资信证明。部分其他组织和自然人没有经审计的财务报告，可以提供2023年以来银行出具的资信证明；</w:t>
            </w:r>
          </w:p>
          <w:p w14:paraId="2E246490">
            <w:pPr>
              <w:pStyle w:val="16"/>
              <w:keepNext w:val="0"/>
              <w:keepLines w:val="0"/>
              <w:pageBreakBefore w:val="0"/>
              <w:widowControl w:val="0"/>
              <w:kinsoku/>
              <w:wordWrap/>
              <w:overflowPunct/>
              <w:topLinePunct w:val="0"/>
              <w:bidi w:val="0"/>
              <w:snapToGrid/>
              <w:spacing w:after="0" w:line="360" w:lineRule="auto"/>
              <w:ind w:firstLine="0" w:firstLineChars="0"/>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6、具有履行合同所必需的设备和专业技术能力：提供承诺书或人员、设备一览表；</w:t>
            </w:r>
          </w:p>
          <w:p w14:paraId="03280B0D">
            <w:pPr>
              <w:pStyle w:val="16"/>
              <w:keepNext w:val="0"/>
              <w:keepLines w:val="0"/>
              <w:pageBreakBefore w:val="0"/>
              <w:widowControl w:val="0"/>
              <w:kinsoku/>
              <w:wordWrap/>
              <w:overflowPunct/>
              <w:topLinePunct w:val="0"/>
              <w:bidi w:val="0"/>
              <w:snapToGrid/>
              <w:spacing w:after="0" w:line="360" w:lineRule="auto"/>
              <w:ind w:firstLine="0" w:firstLineChars="0"/>
              <w:textAlignment w:val="auto"/>
              <w:rPr>
                <w:rFonts w:hint="default" w:ascii="宋体" w:hAnsi="宋体"/>
                <w:color w:val="auto"/>
                <w:sz w:val="24"/>
                <w:highlight w:val="none"/>
                <w:lang w:val="en-US" w:eastAsia="zh-CN"/>
              </w:rPr>
            </w:pPr>
            <w:r>
              <w:rPr>
                <w:rFonts w:hint="eastAsia" w:ascii="宋体" w:hAnsi="宋体"/>
                <w:color w:val="auto"/>
                <w:sz w:val="24"/>
                <w:highlight w:val="none"/>
                <w:lang w:val="en-US" w:eastAsia="zh-CN"/>
              </w:rPr>
              <w:t>7、有依法缴纳税收和社会保障资金的良好记录：提供2023年01月（含01月）后至今任意3个月依法缴纳社会保险的相关证明材料（如社保局出具的书面证明或网银缴费凭证或社保缴纳凭证票据等），提供2023年01月（含01月）后至今任意3个月依法缴纳税收的相关证明材料（如税务局出具的书面证明或网银缴费凭证或完税凭证票据等等）；</w:t>
            </w:r>
          </w:p>
          <w:p w14:paraId="7E4A5634">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rPr>
              <w:t>8、</w:t>
            </w:r>
            <w:r>
              <w:rPr>
                <w:rFonts w:hint="eastAsia" w:ascii="宋体" w:hAnsi="宋体" w:eastAsia="宋体" w:cs="宋体"/>
                <w:color w:val="auto"/>
                <w:kern w:val="0"/>
                <w:sz w:val="24"/>
                <w:szCs w:val="24"/>
                <w:highlight w:val="none"/>
                <w:shd w:val="clear" w:color="auto" w:fill="FFFFFF"/>
              </w:rPr>
              <w:t>报价供应商</w:t>
            </w:r>
            <w:r>
              <w:rPr>
                <w:rFonts w:hint="eastAsia" w:ascii="宋体" w:hAnsi="宋体" w:eastAsia="宋体" w:cs="宋体"/>
                <w:color w:val="auto"/>
                <w:sz w:val="24"/>
                <w:szCs w:val="24"/>
                <w:highlight w:val="none"/>
              </w:rPr>
              <w:t>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eastAsia="宋体" w:cs="宋体"/>
                <w:color w:val="auto"/>
                <w:sz w:val="24"/>
                <w:szCs w:val="24"/>
                <w:highlight w:val="none"/>
              </w:rPr>
              <w:t>；</w:t>
            </w:r>
          </w:p>
          <w:p w14:paraId="7AD940FD">
            <w:pPr>
              <w:pStyle w:val="2"/>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lang w:val="en-US" w:eastAsia="zh-CN"/>
              </w:rPr>
              <w:t>9、法律、行政法规规定的其他条件：根据《财政部关于在政府采购活动中查询及使用信用记录有关问题的通知》（财库〔2016〕125 号）规定，竞争性磋商人需自行承诺“未在“信用中国”网站上及中国政府采购网上被列入失信被执行人、重大税收违法案件当事人名单、政府采购严重违法失信行为记录名单，如有被列入的情况，将视为无效投标”；</w:t>
            </w:r>
          </w:p>
          <w:p w14:paraId="06E8883C">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val="en-US" w:eastAsia="zh-CN"/>
                <w14:textFill>
                  <w14:solidFill>
                    <w14:schemeClr w14:val="tx1"/>
                  </w14:solidFill>
                </w14:textFill>
              </w:rPr>
              <w:t>、国家能源局颁发的</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承装（修、试）电力设施</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四级及以上许可证的复印件</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w:t>
            </w:r>
          </w:p>
          <w:p w14:paraId="2A735527">
            <w:pPr>
              <w:pStyle w:val="2"/>
              <w:keepNext w:val="0"/>
              <w:keepLines w:val="0"/>
              <w:pageBreakBefore w:val="0"/>
              <w:widowControl w:val="0"/>
              <w:kinsoku/>
              <w:wordWrap/>
              <w:overflowPunct/>
              <w:topLinePunct w:val="0"/>
              <w:bidi w:val="0"/>
              <w:snapToGrid/>
              <w:spacing w:line="360" w:lineRule="auto"/>
              <w:textAlignment w:val="auto"/>
              <w:rPr>
                <w:rFonts w:hint="default" w:eastAsia="宋体"/>
                <w:b w:val="0"/>
                <w:bCs w:val="0"/>
                <w:lang w:val="en-US" w:eastAsia="zh-CN"/>
              </w:rPr>
            </w:pP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11、对面积超过100000m2以上的项目进行过建筑电气消防安全检测，提供相关的合同复印件。</w:t>
            </w:r>
          </w:p>
          <w:p w14:paraId="3A8974AF">
            <w:pPr>
              <w:keepNext w:val="0"/>
              <w:keepLines w:val="0"/>
              <w:pageBreakBefore w:val="0"/>
              <w:widowControl w:val="0"/>
              <w:kinsoku/>
              <w:wordWrap/>
              <w:overflowPunct/>
              <w:topLinePunct w:val="0"/>
              <w:bidi w:val="0"/>
              <w:snapToGrid/>
              <w:spacing w:line="360" w:lineRule="auto"/>
              <w:ind w:firstLine="0" w:firstLineChars="0"/>
              <w:textAlignment w:val="auto"/>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4EC1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D7659A1">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2CE776B4">
            <w:pPr>
              <w:spacing w:line="440" w:lineRule="exac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询价</w:t>
            </w:r>
            <w:r>
              <w:rPr>
                <w:rFonts w:hint="eastAsia" w:ascii="宋体" w:hAnsi="宋体"/>
                <w:b/>
                <w:bCs/>
                <w:color w:val="000000" w:themeColor="text1"/>
                <w:sz w:val="24"/>
                <w:highlight w:val="none"/>
                <w14:textFill>
                  <w14:solidFill>
                    <w14:schemeClr w14:val="tx1"/>
                  </w14:solidFill>
                </w14:textFill>
              </w:rPr>
              <w:t>保证金：</w:t>
            </w:r>
            <w:r>
              <w:rPr>
                <w:rFonts w:hint="eastAsia" w:ascii="宋体" w:hAnsi="宋体" w:cs="宋体"/>
                <w:color w:val="000000" w:themeColor="text1"/>
                <w:sz w:val="24"/>
                <w:szCs w:val="24"/>
                <w:highlight w:val="none"/>
                <w:lang w:eastAsia="zh-CN"/>
                <w14:textFill>
                  <w14:solidFill>
                    <w14:schemeClr w14:val="tx1"/>
                  </w14:solidFill>
                </w14:textFill>
              </w:rPr>
              <w:t>本项目无须缴纳保证金。</w:t>
            </w:r>
          </w:p>
        </w:tc>
      </w:tr>
      <w:tr w14:paraId="5546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17AD0D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109D8394">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履约保证金：无需缴纳履约保证金。</w:t>
            </w:r>
          </w:p>
        </w:tc>
      </w:tr>
      <w:tr w14:paraId="5079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2B3498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06DCD267">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230F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E8741A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787D6BB4">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w:t>
            </w:r>
            <w:r>
              <w:rPr>
                <w:rFonts w:hint="eastAsia" w:ascii="宋体" w:hAnsi="宋体"/>
                <w:b w:val="0"/>
                <w:bCs/>
                <w:color w:val="000000" w:themeColor="text1"/>
                <w:sz w:val="24"/>
                <w:highlight w:val="none"/>
                <w14:textFill>
                  <w14:solidFill>
                    <w14:schemeClr w14:val="tx1"/>
                  </w14:solidFill>
                </w14:textFill>
              </w:rPr>
              <w:t>份数：正本</w:t>
            </w:r>
            <w:r>
              <w:rPr>
                <w:rFonts w:hint="eastAsia" w:ascii="宋体" w:hAnsi="宋体"/>
                <w:b w:val="0"/>
                <w:bCs/>
                <w:color w:val="000000" w:themeColor="text1"/>
                <w:sz w:val="24"/>
                <w:highlight w:val="none"/>
                <w:u w:val="single"/>
                <w:lang w:val="en-US" w:eastAsia="zh-CN"/>
                <w14:textFill>
                  <w14:solidFill>
                    <w14:schemeClr w14:val="tx1"/>
                  </w14:solidFill>
                </w14:textFill>
              </w:rPr>
              <w:t>1</w:t>
            </w:r>
            <w:r>
              <w:rPr>
                <w:rFonts w:hint="eastAsia" w:ascii="宋体" w:hAnsi="宋体"/>
                <w:b w:val="0"/>
                <w:bCs/>
                <w:color w:val="000000" w:themeColor="text1"/>
                <w:sz w:val="24"/>
                <w:highlight w:val="none"/>
                <w14:textFill>
                  <w14:solidFill>
                    <w14:schemeClr w14:val="tx1"/>
                  </w14:solidFill>
                </w14:textFill>
              </w:rPr>
              <w:t>份、副本</w:t>
            </w:r>
            <w:r>
              <w:rPr>
                <w:rFonts w:hint="eastAsia" w:ascii="宋体" w:hAnsi="宋体"/>
                <w:b w:val="0"/>
                <w:bCs/>
                <w:color w:val="000000" w:themeColor="text1"/>
                <w:sz w:val="24"/>
                <w:highlight w:val="none"/>
                <w:u w:val="single"/>
                <w:lang w:val="en-US" w:eastAsia="zh-CN"/>
                <w14:textFill>
                  <w14:solidFill>
                    <w14:schemeClr w14:val="tx1"/>
                  </w14:solidFill>
                </w14:textFill>
              </w:rPr>
              <w:t>3</w:t>
            </w:r>
            <w:r>
              <w:rPr>
                <w:rFonts w:hint="eastAsia" w:ascii="宋体" w:hAnsi="宋体"/>
                <w:b w:val="0"/>
                <w:bCs/>
                <w:color w:val="000000" w:themeColor="text1"/>
                <w:sz w:val="24"/>
                <w:highlight w:val="none"/>
                <w14:textFill>
                  <w14:solidFill>
                    <w14:schemeClr w14:val="tx1"/>
                  </w14:solidFill>
                </w14:textFill>
              </w:rPr>
              <w:t>份。</w:t>
            </w:r>
          </w:p>
        </w:tc>
      </w:tr>
      <w:tr w14:paraId="0C0F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90F407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738FC90D">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161E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23B6A1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5D2704CA">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307F9A25">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531A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FE9322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7E701ACB">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A32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D69660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0B918222">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39B2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1A9819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6917B03A">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F61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AB2160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9498136">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2446DFB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7972C27">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499AC61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1D72809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57A8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ECB9988">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73CC2928">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5ABCBF2F">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8D1ECA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2BA4178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5977CAF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6B69261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447B2CC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1F524884">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583F55E0">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3BC34BEC">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49A1390C">
      <w:pPr>
        <w:pStyle w:val="3"/>
        <w:spacing w:before="120" w:after="120" w:line="440" w:lineRule="exact"/>
        <w:jc w:val="center"/>
        <w:rPr>
          <w:rFonts w:hint="eastAsia" w:ascii="宋体" w:hAnsi="宋体" w:eastAsia="宋体"/>
          <w:color w:val="auto"/>
          <w:sz w:val="36"/>
          <w:szCs w:val="36"/>
          <w:highlight w:val="none"/>
        </w:rPr>
      </w:pPr>
      <w:bookmarkStart w:id="47" w:name="_Toc34"/>
      <w:bookmarkStart w:id="48" w:name="_Toc1931"/>
    </w:p>
    <w:p w14:paraId="63789234">
      <w:pPr>
        <w:pStyle w:val="3"/>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5A93EDC9">
      <w:pPr>
        <w:numPr>
          <w:ilvl w:val="0"/>
          <w:numId w:val="0"/>
        </w:numPr>
        <w:spacing w:line="440" w:lineRule="exact"/>
        <w:rPr>
          <w:rFonts w:hint="eastAsia" w:ascii="宋体" w:hAnsi="宋体"/>
          <w:b/>
          <w:color w:val="000000" w:themeColor="text1"/>
          <w:kern w:val="0"/>
          <w:sz w:val="24"/>
          <w:lang w:val="en-US" w:eastAsia="zh-CN"/>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一、基本技术参数及要求</w:t>
      </w:r>
    </w:p>
    <w:p w14:paraId="35247911">
      <w:pPr>
        <w:numPr>
          <w:ilvl w:val="0"/>
          <w:numId w:val="0"/>
        </w:num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（一）学校基本信息</w:t>
      </w:r>
    </w:p>
    <w:p w14:paraId="66D76A56">
      <w:pPr>
        <w:numPr>
          <w:ilvl w:val="0"/>
          <w:numId w:val="0"/>
        </w:num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泉州师范学院</w:t>
      </w:r>
      <w:r>
        <w:rPr>
          <w:rFonts w:hint="eastAsia" w:ascii="宋体" w:hAnsi="宋体" w:eastAsia="宋体" w:cs="宋体"/>
          <w:sz w:val="24"/>
          <w:szCs w:val="24"/>
        </w:rPr>
        <w:t>建筑面积</w:t>
      </w:r>
      <w:r>
        <w:rPr>
          <w:rFonts w:hint="eastAsia" w:ascii="宋体" w:hAnsi="宋体" w:eastAsia="宋体" w:cs="宋体"/>
          <w:sz w:val="24"/>
          <w:szCs w:val="24"/>
          <w:lang w:val="en-US" w:eastAsia="zh-CN"/>
        </w:rPr>
        <w:t>419152</w:t>
      </w:r>
      <w:r>
        <w:rPr>
          <w:rFonts w:hint="eastAsia" w:ascii="宋体" w:hAnsi="宋体" w:eastAsia="宋体" w:cs="宋体"/>
          <w:sz w:val="24"/>
          <w:szCs w:val="24"/>
        </w:rPr>
        <w:t>m</w:t>
      </w:r>
      <w:r>
        <w:rPr>
          <w:rFonts w:hint="eastAsia" w:ascii="宋体" w:hAnsi="宋体" w:eastAsia="宋体" w:cs="宋体"/>
          <w:sz w:val="24"/>
          <w:szCs w:val="24"/>
          <w:vertAlign w:val="superscript"/>
        </w:rPr>
        <w:t>2</w:t>
      </w:r>
      <w:r>
        <w:rPr>
          <w:rFonts w:hint="eastAsia" w:ascii="宋体" w:hAnsi="宋体" w:eastAsia="宋体" w:cs="宋体"/>
          <w:sz w:val="24"/>
          <w:szCs w:val="24"/>
        </w:rPr>
        <w:t>（</w:t>
      </w:r>
      <w:r>
        <w:rPr>
          <w:rFonts w:hint="eastAsia" w:ascii="宋体" w:hAnsi="宋体" w:eastAsia="宋体" w:cs="宋体"/>
          <w:sz w:val="24"/>
          <w:szCs w:val="24"/>
          <w:lang w:eastAsia="zh-CN"/>
        </w:rPr>
        <w:t>主校区</w:t>
      </w:r>
      <w:r>
        <w:rPr>
          <w:rFonts w:hint="eastAsia" w:ascii="宋体" w:hAnsi="宋体" w:eastAsia="宋体" w:cs="宋体"/>
          <w:sz w:val="24"/>
          <w:szCs w:val="24"/>
          <w:lang w:val="en-US" w:eastAsia="zh-CN"/>
        </w:rPr>
        <w:t>381352</w:t>
      </w:r>
      <w:r>
        <w:rPr>
          <w:rFonts w:hint="eastAsia" w:ascii="宋体" w:hAnsi="宋体" w:eastAsia="宋体" w:cs="宋体"/>
          <w:sz w:val="24"/>
          <w:szCs w:val="24"/>
        </w:rPr>
        <w:t>m</w:t>
      </w:r>
      <w:r>
        <w:rPr>
          <w:rFonts w:hint="eastAsia" w:ascii="宋体" w:hAnsi="宋体" w:eastAsia="宋体" w:cs="宋体"/>
          <w:sz w:val="24"/>
          <w:szCs w:val="24"/>
          <w:vertAlign w:val="superscript"/>
        </w:rPr>
        <w:t>2</w:t>
      </w:r>
      <w:r>
        <w:rPr>
          <w:rFonts w:hint="eastAsia" w:ascii="宋体" w:hAnsi="宋体" w:eastAsia="宋体" w:cs="宋体"/>
          <w:sz w:val="24"/>
          <w:szCs w:val="24"/>
        </w:rPr>
        <w:t>，</w:t>
      </w:r>
      <w:r>
        <w:rPr>
          <w:rFonts w:hint="eastAsia" w:ascii="宋体" w:hAnsi="宋体" w:eastAsia="宋体" w:cs="宋体"/>
          <w:sz w:val="24"/>
          <w:szCs w:val="24"/>
          <w:lang w:eastAsia="zh-CN"/>
        </w:rPr>
        <w:t>南安校区</w:t>
      </w:r>
      <w:r>
        <w:rPr>
          <w:rFonts w:hint="eastAsia" w:ascii="宋体" w:hAnsi="宋体" w:eastAsia="宋体" w:cs="宋体"/>
          <w:sz w:val="24"/>
          <w:szCs w:val="24"/>
          <w:lang w:val="en-US" w:eastAsia="zh-CN"/>
        </w:rPr>
        <w:t>37800</w:t>
      </w:r>
      <w:r>
        <w:rPr>
          <w:rFonts w:hint="eastAsia" w:ascii="宋体" w:hAnsi="宋体" w:eastAsia="宋体" w:cs="宋体"/>
          <w:sz w:val="24"/>
          <w:szCs w:val="24"/>
        </w:rPr>
        <w:t>m2）</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77"/>
        <w:gridCol w:w="2875"/>
      </w:tblGrid>
      <w:tr w14:paraId="1BE0D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8352" w:type="dxa"/>
            <w:gridSpan w:val="2"/>
            <w:tcBorders>
              <w:top w:val="nil"/>
              <w:left w:val="nil"/>
              <w:bottom w:val="nil"/>
              <w:right w:val="nil"/>
            </w:tcBorders>
            <w:shd w:val="clear" w:color="auto" w:fill="auto"/>
            <w:vAlign w:val="center"/>
          </w:tcPr>
          <w:p w14:paraId="772942C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6"/>
                <w:szCs w:val="36"/>
                <w:u w:val="none"/>
              </w:rPr>
            </w:pPr>
            <w:r>
              <w:rPr>
                <w:rFonts w:hint="default" w:ascii="Times New Roman" w:hAnsi="Times New Roman" w:eastAsia="宋体" w:cs="Times New Roman"/>
                <w:b/>
                <w:bCs/>
                <w:i w:val="0"/>
                <w:iCs w:val="0"/>
                <w:color w:val="000000"/>
                <w:kern w:val="0"/>
                <w:sz w:val="32"/>
                <w:szCs w:val="32"/>
                <w:u w:val="none"/>
                <w:lang w:val="en-US" w:eastAsia="zh-CN" w:bidi="ar"/>
              </w:rPr>
              <w:t>202</w:t>
            </w:r>
            <w:r>
              <w:rPr>
                <w:rFonts w:hint="eastAsia" w:ascii="Times New Roman" w:hAnsi="Times New Roman" w:cs="Times New Roman"/>
                <w:b/>
                <w:bCs/>
                <w:i w:val="0"/>
                <w:iCs w:val="0"/>
                <w:color w:val="000000"/>
                <w:kern w:val="0"/>
                <w:sz w:val="32"/>
                <w:szCs w:val="32"/>
                <w:u w:val="none"/>
                <w:lang w:val="en-US" w:eastAsia="zh-CN" w:bidi="ar"/>
              </w:rPr>
              <w:t>4</w:t>
            </w:r>
            <w:r>
              <w:rPr>
                <w:rStyle w:val="25"/>
                <w:sz w:val="32"/>
                <w:szCs w:val="32"/>
                <w:lang w:val="en-US" w:eastAsia="zh-CN" w:bidi="ar"/>
              </w:rPr>
              <w:t>年泉州师范学院主校区（校本部）建筑面积统计表</w:t>
            </w:r>
          </w:p>
        </w:tc>
      </w:tr>
      <w:tr w14:paraId="67CD1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477" w:type="dxa"/>
            <w:tcBorders>
              <w:top w:val="nil"/>
              <w:left w:val="nil"/>
              <w:bottom w:val="nil"/>
              <w:right w:val="nil"/>
            </w:tcBorders>
            <w:shd w:val="clear" w:color="auto" w:fill="auto"/>
            <w:vAlign w:val="center"/>
          </w:tcPr>
          <w:p w14:paraId="143AEC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单位:平方米</w:t>
            </w:r>
          </w:p>
        </w:tc>
        <w:tc>
          <w:tcPr>
            <w:tcW w:w="2875" w:type="dxa"/>
            <w:tcBorders>
              <w:top w:val="nil"/>
              <w:left w:val="nil"/>
              <w:bottom w:val="nil"/>
              <w:right w:val="nil"/>
            </w:tcBorders>
            <w:shd w:val="clear" w:color="auto" w:fill="auto"/>
            <w:vAlign w:val="center"/>
          </w:tcPr>
          <w:p w14:paraId="1719E613">
            <w:pPr>
              <w:jc w:val="center"/>
              <w:rPr>
                <w:rFonts w:hint="eastAsia" w:ascii="宋体" w:hAnsi="宋体" w:eastAsia="宋体" w:cs="宋体"/>
                <w:b/>
                <w:bCs/>
                <w:i w:val="0"/>
                <w:iCs w:val="0"/>
                <w:color w:val="000000"/>
                <w:sz w:val="20"/>
                <w:szCs w:val="20"/>
                <w:u w:val="none"/>
              </w:rPr>
            </w:pPr>
          </w:p>
        </w:tc>
      </w:tr>
      <w:tr w14:paraId="7E018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vMerge w:val="restart"/>
            <w:tcBorders>
              <w:top w:val="single" w:color="000000" w:sz="4" w:space="0"/>
              <w:left w:val="single" w:color="000000" w:sz="4" w:space="0"/>
              <w:bottom w:val="single" w:color="000000" w:sz="4" w:space="0"/>
              <w:right w:val="single" w:color="000000" w:sz="4" w:space="0"/>
              <w:tl2br w:val="single" w:color="000000" w:sz="8" w:space="0"/>
            </w:tcBorders>
            <w:shd w:val="clear" w:color="auto" w:fill="auto"/>
            <w:vAlign w:val="center"/>
          </w:tcPr>
          <w:p w14:paraId="3EE767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eastAsia="zh-CN"/>
              </w:rPr>
            </w:pPr>
            <w:r>
              <w:rPr>
                <w:rFonts w:hint="eastAsia" w:ascii="宋体" w:hAnsi="宋体" w:eastAsia="宋体" w:cs="宋体"/>
                <w:b/>
                <w:bCs/>
                <w:i w:val="0"/>
                <w:iCs w:val="0"/>
                <w:color w:val="000000"/>
                <w:sz w:val="22"/>
                <w:szCs w:val="22"/>
                <w:u w:val="none"/>
                <w:lang w:eastAsia="zh-CN"/>
              </w:rPr>
              <w:t>项目</w:t>
            </w:r>
          </w:p>
          <w:p w14:paraId="46785279">
            <w:pPr>
              <w:bidi w:val="0"/>
              <w:rPr>
                <w:rFonts w:hint="eastAsia" w:ascii="Calibri" w:hAnsi="Calibri" w:eastAsia="宋体" w:cs="Times New Roman"/>
                <w:kern w:val="2"/>
                <w:sz w:val="21"/>
                <w:szCs w:val="24"/>
                <w:lang w:val="en-US" w:eastAsia="zh-CN" w:bidi="ar-SA"/>
              </w:rPr>
            </w:pPr>
          </w:p>
          <w:p w14:paraId="7921EE60">
            <w:pPr>
              <w:bidi w:val="0"/>
              <w:rPr>
                <w:rFonts w:hint="eastAsia"/>
                <w:b/>
                <w:bCs/>
                <w:color w:val="000000"/>
                <w:lang w:val="en-US" w:eastAsia="zh-CN"/>
              </w:rPr>
            </w:pPr>
          </w:p>
          <w:p w14:paraId="647DE9B7">
            <w:pPr>
              <w:tabs>
                <w:tab w:val="left" w:pos="2128"/>
              </w:tabs>
              <w:bidi w:val="0"/>
              <w:jc w:val="left"/>
              <w:rPr>
                <w:rFonts w:hint="eastAsia"/>
                <w:lang w:val="en-US" w:eastAsia="zh-CN"/>
              </w:rPr>
            </w:pPr>
            <w:r>
              <w:rPr>
                <w:rFonts w:hint="eastAsia"/>
                <w:b/>
                <w:bCs/>
                <w:color w:val="000000"/>
                <w:lang w:val="en-US" w:eastAsia="zh-CN"/>
              </w:rPr>
              <w:tab/>
            </w:r>
            <w:r>
              <w:rPr>
                <w:rFonts w:hint="eastAsia"/>
                <w:b/>
                <w:bCs/>
                <w:color w:val="000000"/>
                <w:lang w:val="en-US" w:eastAsia="zh-CN"/>
              </w:rPr>
              <w:t>校舍名称</w:t>
            </w:r>
          </w:p>
        </w:tc>
        <w:tc>
          <w:tcPr>
            <w:tcW w:w="2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B8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总面积（</w:t>
            </w:r>
            <w:r>
              <w:rPr>
                <w:rStyle w:val="26"/>
                <w:rFonts w:eastAsia="宋体"/>
                <w:b/>
                <w:bCs/>
                <w:lang w:val="en-US" w:eastAsia="zh-CN" w:bidi="ar"/>
              </w:rPr>
              <w:t>m</w:t>
            </w:r>
            <w:r>
              <w:rPr>
                <w:rStyle w:val="27"/>
                <w:rFonts w:eastAsia="宋体"/>
                <w:b/>
                <w:bCs/>
                <w:lang w:val="en-US" w:eastAsia="zh-CN" w:bidi="ar"/>
              </w:rPr>
              <w:t>2</w:t>
            </w:r>
            <w:r>
              <w:rPr>
                <w:rStyle w:val="28"/>
                <w:b/>
                <w:bCs/>
                <w:lang w:val="en-US" w:eastAsia="zh-CN" w:bidi="ar"/>
              </w:rPr>
              <w:t>）</w:t>
            </w:r>
          </w:p>
        </w:tc>
      </w:tr>
      <w:tr w14:paraId="73F2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5477" w:type="dxa"/>
            <w:vMerge w:val="continue"/>
            <w:tcBorders>
              <w:top w:val="single" w:color="000000" w:sz="4" w:space="0"/>
              <w:left w:val="single" w:color="000000" w:sz="4" w:space="0"/>
              <w:bottom w:val="single" w:color="000000" w:sz="4" w:space="0"/>
              <w:right w:val="single" w:color="000000" w:sz="4" w:space="0"/>
              <w:tl2br w:val="single" w:color="000000" w:sz="8" w:space="0"/>
            </w:tcBorders>
            <w:shd w:val="clear" w:color="auto" w:fill="auto"/>
            <w:vAlign w:val="center"/>
          </w:tcPr>
          <w:p w14:paraId="6699A4D0">
            <w:pPr>
              <w:jc w:val="center"/>
              <w:rPr>
                <w:rFonts w:hint="eastAsia" w:ascii="宋体" w:hAnsi="宋体" w:eastAsia="宋体" w:cs="宋体"/>
                <w:b/>
                <w:bCs/>
                <w:i w:val="0"/>
                <w:iCs w:val="0"/>
                <w:color w:val="000000"/>
                <w:sz w:val="22"/>
                <w:szCs w:val="22"/>
                <w:u w:val="none"/>
              </w:rPr>
            </w:pPr>
          </w:p>
        </w:tc>
        <w:tc>
          <w:tcPr>
            <w:tcW w:w="2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33E19">
            <w:pPr>
              <w:jc w:val="center"/>
              <w:rPr>
                <w:rFonts w:hint="eastAsia" w:ascii="宋体" w:hAnsi="宋体" w:eastAsia="宋体" w:cs="宋体"/>
                <w:i w:val="0"/>
                <w:iCs w:val="0"/>
                <w:color w:val="000000"/>
                <w:sz w:val="22"/>
                <w:szCs w:val="22"/>
                <w:u w:val="none"/>
              </w:rPr>
            </w:pPr>
          </w:p>
        </w:tc>
      </w:tr>
      <w:tr w14:paraId="474DE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477" w:type="dxa"/>
            <w:vMerge w:val="continue"/>
            <w:tcBorders>
              <w:top w:val="single" w:color="000000" w:sz="4" w:space="0"/>
              <w:left w:val="single" w:color="000000" w:sz="4" w:space="0"/>
              <w:bottom w:val="single" w:color="000000" w:sz="4" w:space="0"/>
              <w:right w:val="single" w:color="000000" w:sz="4" w:space="0"/>
              <w:tl2br w:val="single" w:color="000000" w:sz="8" w:space="0"/>
            </w:tcBorders>
            <w:shd w:val="clear" w:color="auto" w:fill="auto"/>
            <w:vAlign w:val="center"/>
          </w:tcPr>
          <w:p w14:paraId="59B1EF60">
            <w:pPr>
              <w:jc w:val="center"/>
              <w:rPr>
                <w:rFonts w:hint="eastAsia" w:ascii="宋体" w:hAnsi="宋体" w:eastAsia="宋体" w:cs="宋体"/>
                <w:b/>
                <w:bCs/>
                <w:i w:val="0"/>
                <w:iCs w:val="0"/>
                <w:color w:val="000000"/>
                <w:sz w:val="22"/>
                <w:szCs w:val="22"/>
                <w:u w:val="none"/>
              </w:rPr>
            </w:pPr>
          </w:p>
        </w:tc>
        <w:tc>
          <w:tcPr>
            <w:tcW w:w="2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ADE7A">
            <w:pPr>
              <w:jc w:val="center"/>
              <w:rPr>
                <w:rFonts w:hint="eastAsia" w:ascii="宋体" w:hAnsi="宋体" w:eastAsia="宋体" w:cs="宋体"/>
                <w:i w:val="0"/>
                <w:iCs w:val="0"/>
                <w:color w:val="000000"/>
                <w:sz w:val="22"/>
                <w:szCs w:val="22"/>
                <w:u w:val="none"/>
              </w:rPr>
            </w:pPr>
          </w:p>
        </w:tc>
      </w:tr>
      <w:tr w14:paraId="603D0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1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文科一号</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6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11048</w:t>
            </w:r>
          </w:p>
        </w:tc>
      </w:tr>
      <w:tr w14:paraId="74F4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4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文科二号</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E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10338</w:t>
            </w:r>
          </w:p>
        </w:tc>
      </w:tr>
      <w:tr w14:paraId="06D5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30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w:t>
            </w:r>
            <w:r>
              <w:rPr>
                <w:rStyle w:val="29"/>
                <w:lang w:val="en-US" w:eastAsia="zh-CN" w:bidi="ar"/>
              </w:rPr>
              <w:t>区学生公寓</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B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31150</w:t>
            </w:r>
          </w:p>
        </w:tc>
      </w:tr>
      <w:tr w14:paraId="4B6E2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8E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w:t>
            </w:r>
            <w:r>
              <w:rPr>
                <w:rStyle w:val="29"/>
                <w:lang w:val="en-US" w:eastAsia="zh-CN" w:bidi="ar"/>
              </w:rPr>
              <w:t>区学生公寓</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8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23783</w:t>
            </w:r>
          </w:p>
        </w:tc>
      </w:tr>
      <w:tr w14:paraId="61222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AA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w:t>
            </w:r>
            <w:r>
              <w:rPr>
                <w:rStyle w:val="29"/>
                <w:lang w:val="en-US" w:eastAsia="zh-CN" w:bidi="ar"/>
              </w:rPr>
              <w:t>区学生公寓</w:t>
            </w:r>
            <w:r>
              <w:rPr>
                <w:rStyle w:val="30"/>
                <w:rFonts w:eastAsia="宋体"/>
                <w:lang w:val="en-US" w:eastAsia="zh-CN" w:bidi="ar"/>
              </w:rPr>
              <w:t>1—17</w:t>
            </w:r>
            <w:r>
              <w:rPr>
                <w:rStyle w:val="29"/>
                <w:lang w:val="en-US" w:eastAsia="zh-CN" w:bidi="ar"/>
              </w:rPr>
              <w:t>号楼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3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55717</w:t>
            </w:r>
          </w:p>
        </w:tc>
      </w:tr>
      <w:tr w14:paraId="6612C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6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食堂</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3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7340</w:t>
            </w:r>
          </w:p>
        </w:tc>
      </w:tr>
      <w:tr w14:paraId="48A5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5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现代教育技术综合楼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F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25048</w:t>
            </w:r>
          </w:p>
        </w:tc>
      </w:tr>
      <w:tr w14:paraId="475A0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F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行政办公楼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5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7219</w:t>
            </w:r>
          </w:p>
        </w:tc>
      </w:tr>
      <w:tr w14:paraId="6C24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1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配电室</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D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r>
      <w:tr w14:paraId="3F0DF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5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C区配电室</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4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r>
      <w:tr w14:paraId="1068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A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理工楼群配电室</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3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r>
      <w:tr w14:paraId="5A1B7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D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A区配电室</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3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56821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9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青年公寓楼配电室</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5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14:paraId="75623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7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青年公寓楼泵房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3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42A9E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C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图书馆</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0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20256</w:t>
            </w:r>
          </w:p>
        </w:tc>
      </w:tr>
      <w:tr w14:paraId="08E6D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2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体育训练馆</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C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6025</w:t>
            </w:r>
          </w:p>
        </w:tc>
      </w:tr>
      <w:tr w14:paraId="2341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4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礼堂</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1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10839</w:t>
            </w:r>
          </w:p>
        </w:tc>
      </w:tr>
      <w:tr w14:paraId="1474E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C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生活服务中心</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2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16789</w:t>
            </w:r>
          </w:p>
        </w:tc>
      </w:tr>
      <w:tr w14:paraId="49603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F6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理工科教学楼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E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12168</w:t>
            </w:r>
          </w:p>
        </w:tc>
      </w:tr>
      <w:tr w14:paraId="55E3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8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基础实验楼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E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33007</w:t>
            </w:r>
          </w:p>
        </w:tc>
      </w:tr>
      <w:tr w14:paraId="2A90E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A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中心实验楼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6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5428</w:t>
            </w:r>
          </w:p>
        </w:tc>
      </w:tr>
      <w:tr w14:paraId="6EE7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4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大学生活动中心</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0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r>
      <w:tr w14:paraId="41787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7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俊秀文学院</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C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22917</w:t>
            </w:r>
          </w:p>
        </w:tc>
      </w:tr>
      <w:tr w14:paraId="689BF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E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艺术楼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7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14592</w:t>
            </w:r>
          </w:p>
        </w:tc>
      </w:tr>
      <w:tr w14:paraId="47B22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6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明德体育馆</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8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13800</w:t>
            </w:r>
          </w:p>
        </w:tc>
      </w:tr>
      <w:tr w14:paraId="3CD4E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1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实验厂房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D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14:paraId="2300D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3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青年教师公寓楼（公租房）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9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15848.66</w:t>
            </w:r>
          </w:p>
        </w:tc>
      </w:tr>
      <w:tr w14:paraId="44CA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C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特教大楼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1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17742.88</w:t>
            </w:r>
          </w:p>
        </w:tc>
      </w:tr>
      <w:tr w14:paraId="6C53B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0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物信学院实训基地</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2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14:paraId="65301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C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垃圾中转站</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5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228.78</w:t>
            </w:r>
          </w:p>
        </w:tc>
      </w:tr>
      <w:tr w14:paraId="58B63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C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浅水湾创业大楼</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9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11603.59</w:t>
            </w:r>
          </w:p>
        </w:tc>
      </w:tr>
      <w:tr w14:paraId="43B7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3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第二田径场看台（含主席台）</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D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2867.2</w:t>
            </w:r>
          </w:p>
        </w:tc>
      </w:tr>
      <w:tr w14:paraId="1B147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E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总计</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C7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381352.11</w:t>
            </w:r>
          </w:p>
        </w:tc>
      </w:tr>
    </w:tbl>
    <w:p w14:paraId="1347FE4F"/>
    <w:tbl>
      <w:tblPr>
        <w:tblStyle w:val="1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81"/>
        <w:gridCol w:w="2874"/>
      </w:tblGrid>
      <w:tr w14:paraId="2CE05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gridSpan w:val="2"/>
            <w:tcBorders>
              <w:top w:val="nil"/>
              <w:left w:val="nil"/>
              <w:bottom w:val="nil"/>
              <w:right w:val="nil"/>
            </w:tcBorders>
            <w:shd w:val="clear" w:color="auto" w:fill="auto"/>
            <w:vAlign w:val="center"/>
          </w:tcPr>
          <w:p w14:paraId="107D0A9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44"/>
                <w:szCs w:val="44"/>
                <w:u w:val="none"/>
              </w:rPr>
            </w:pPr>
            <w:r>
              <w:rPr>
                <w:rFonts w:hint="default" w:ascii="Times New Roman" w:hAnsi="Times New Roman" w:eastAsia="宋体" w:cs="Times New Roman"/>
                <w:b/>
                <w:bCs/>
                <w:i w:val="0"/>
                <w:iCs w:val="0"/>
                <w:color w:val="000000"/>
                <w:kern w:val="0"/>
                <w:sz w:val="36"/>
                <w:szCs w:val="36"/>
                <w:u w:val="none"/>
                <w:lang w:val="en-US" w:eastAsia="zh-CN" w:bidi="ar"/>
              </w:rPr>
              <w:t>202</w:t>
            </w:r>
            <w:r>
              <w:rPr>
                <w:rFonts w:hint="eastAsia" w:ascii="Times New Roman" w:hAnsi="Times New Roman" w:cs="Times New Roman"/>
                <w:b/>
                <w:bCs/>
                <w:i w:val="0"/>
                <w:iCs w:val="0"/>
                <w:color w:val="000000"/>
                <w:kern w:val="0"/>
                <w:sz w:val="36"/>
                <w:szCs w:val="36"/>
                <w:u w:val="none"/>
                <w:lang w:val="en-US" w:eastAsia="zh-CN" w:bidi="ar"/>
              </w:rPr>
              <w:t>4</w:t>
            </w:r>
            <w:r>
              <w:rPr>
                <w:rStyle w:val="31"/>
                <w:sz w:val="36"/>
                <w:szCs w:val="36"/>
                <w:lang w:val="en-US" w:eastAsia="zh-CN" w:bidi="ar"/>
              </w:rPr>
              <w:t>年泉州师范学院南安校区校舍建筑面积统计表</w:t>
            </w:r>
          </w:p>
        </w:tc>
      </w:tr>
      <w:tr w14:paraId="305F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2"/>
            <w:tcBorders>
              <w:top w:val="nil"/>
              <w:left w:val="nil"/>
              <w:bottom w:val="nil"/>
              <w:right w:val="nil"/>
            </w:tcBorders>
            <w:shd w:val="clear" w:color="auto" w:fill="auto"/>
            <w:vAlign w:val="center"/>
          </w:tcPr>
          <w:p w14:paraId="56285B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单位：平方米</w:t>
            </w:r>
          </w:p>
        </w:tc>
      </w:tr>
      <w:tr w14:paraId="55760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5381" w:type="dxa"/>
            <w:vMerge w:val="restart"/>
            <w:tcBorders>
              <w:top w:val="single" w:color="000000" w:sz="8" w:space="0"/>
              <w:left w:val="single" w:color="000000" w:sz="8" w:space="0"/>
              <w:bottom w:val="single" w:color="000000" w:sz="4" w:space="0"/>
              <w:right w:val="single" w:color="000000" w:sz="4" w:space="0"/>
              <w:tl2br w:val="single" w:color="000000" w:sz="8" w:space="0"/>
            </w:tcBorders>
            <w:shd w:val="clear" w:color="auto" w:fill="auto"/>
            <w:vAlign w:val="center"/>
          </w:tcPr>
          <w:p w14:paraId="3A9BCB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eastAsia="zh-CN"/>
              </w:rPr>
            </w:pPr>
            <w:r>
              <w:rPr>
                <w:rFonts w:hint="eastAsia" w:ascii="宋体" w:hAnsi="宋体" w:eastAsia="宋体" w:cs="宋体"/>
                <w:b/>
                <w:bCs/>
                <w:i w:val="0"/>
                <w:iCs w:val="0"/>
                <w:color w:val="000000"/>
                <w:sz w:val="22"/>
                <w:szCs w:val="22"/>
                <w:u w:val="none"/>
                <w:lang w:eastAsia="zh-CN"/>
              </w:rPr>
              <w:t>项目</w:t>
            </w:r>
          </w:p>
          <w:p w14:paraId="1AABFF6A">
            <w:pPr>
              <w:bidi w:val="0"/>
              <w:rPr>
                <w:rFonts w:hint="eastAsia" w:ascii="Calibri" w:hAnsi="Calibri" w:eastAsia="宋体" w:cs="Times New Roman"/>
                <w:kern w:val="2"/>
                <w:sz w:val="21"/>
                <w:szCs w:val="24"/>
                <w:lang w:val="en-US" w:eastAsia="zh-CN" w:bidi="ar-SA"/>
              </w:rPr>
            </w:pPr>
          </w:p>
          <w:p w14:paraId="044047E5">
            <w:pPr>
              <w:bidi w:val="0"/>
              <w:rPr>
                <w:rFonts w:hint="eastAsia"/>
                <w:b/>
                <w:bCs/>
                <w:color w:val="000000"/>
                <w:lang w:val="en-US" w:eastAsia="zh-CN"/>
              </w:rPr>
            </w:pPr>
          </w:p>
          <w:p w14:paraId="6805D3B6">
            <w:pPr>
              <w:tabs>
                <w:tab w:val="left" w:pos="2128"/>
              </w:tabs>
              <w:bidi w:val="0"/>
              <w:jc w:val="left"/>
              <w:rPr>
                <w:rFonts w:hint="eastAsia" w:ascii="宋体" w:hAnsi="宋体" w:eastAsia="宋体" w:cs="宋体"/>
                <w:b/>
                <w:bCs/>
                <w:i w:val="0"/>
                <w:iCs w:val="0"/>
                <w:color w:val="000000"/>
                <w:sz w:val="32"/>
                <w:szCs w:val="32"/>
                <w:u w:val="none"/>
                <w:lang w:eastAsia="zh-CN"/>
              </w:rPr>
            </w:pPr>
            <w:r>
              <w:rPr>
                <w:rFonts w:hint="eastAsia"/>
                <w:b/>
                <w:bCs/>
                <w:color w:val="000000"/>
                <w:lang w:val="en-US" w:eastAsia="zh-CN"/>
              </w:rPr>
              <w:tab/>
            </w:r>
            <w:r>
              <w:rPr>
                <w:rFonts w:hint="eastAsia"/>
                <w:b/>
                <w:bCs/>
                <w:color w:val="000000"/>
                <w:lang w:val="en-US" w:eastAsia="zh-CN"/>
              </w:rPr>
              <w:t>校舍名称</w:t>
            </w:r>
          </w:p>
        </w:tc>
        <w:tc>
          <w:tcPr>
            <w:tcW w:w="2874"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7D33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总面积（</w:t>
            </w:r>
            <w:r>
              <w:rPr>
                <w:rStyle w:val="26"/>
                <w:rFonts w:eastAsia="宋体"/>
                <w:b/>
                <w:bCs/>
                <w:lang w:val="en-US" w:eastAsia="zh-CN" w:bidi="ar"/>
              </w:rPr>
              <w:t>m</w:t>
            </w:r>
            <w:r>
              <w:rPr>
                <w:rStyle w:val="27"/>
                <w:rFonts w:eastAsia="宋体"/>
                <w:b/>
                <w:bCs/>
                <w:lang w:val="en-US" w:eastAsia="zh-CN" w:bidi="ar"/>
              </w:rPr>
              <w:t>2</w:t>
            </w:r>
            <w:r>
              <w:rPr>
                <w:rStyle w:val="28"/>
                <w:b/>
                <w:bCs/>
                <w:lang w:val="en-US" w:eastAsia="zh-CN" w:bidi="ar"/>
              </w:rPr>
              <w:t>）</w:t>
            </w:r>
          </w:p>
        </w:tc>
      </w:tr>
      <w:tr w14:paraId="659E0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81" w:type="dxa"/>
            <w:vMerge w:val="continue"/>
            <w:tcBorders>
              <w:top w:val="single" w:color="000000" w:sz="8" w:space="0"/>
              <w:left w:val="single" w:color="000000" w:sz="8" w:space="0"/>
              <w:bottom w:val="single" w:color="000000" w:sz="4" w:space="0"/>
              <w:right w:val="single" w:color="000000" w:sz="4" w:space="0"/>
              <w:tl2br w:val="single" w:color="000000" w:sz="8" w:space="0"/>
            </w:tcBorders>
            <w:shd w:val="clear" w:color="auto" w:fill="auto"/>
            <w:vAlign w:val="center"/>
          </w:tcPr>
          <w:p w14:paraId="3A900ECF">
            <w:pPr>
              <w:jc w:val="center"/>
              <w:rPr>
                <w:rFonts w:hint="eastAsia" w:ascii="宋体" w:hAnsi="宋体" w:eastAsia="宋体" w:cs="宋体"/>
                <w:b/>
                <w:bCs/>
                <w:i w:val="0"/>
                <w:iCs w:val="0"/>
                <w:color w:val="000000"/>
                <w:sz w:val="32"/>
                <w:szCs w:val="32"/>
                <w:u w:val="none"/>
              </w:rPr>
            </w:pPr>
          </w:p>
        </w:tc>
        <w:tc>
          <w:tcPr>
            <w:tcW w:w="2874"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3192B37">
            <w:pPr>
              <w:jc w:val="center"/>
              <w:rPr>
                <w:rFonts w:hint="eastAsia" w:ascii="宋体" w:hAnsi="宋体" w:eastAsia="宋体" w:cs="宋体"/>
                <w:i w:val="0"/>
                <w:iCs w:val="0"/>
                <w:color w:val="000000"/>
                <w:sz w:val="22"/>
                <w:szCs w:val="22"/>
                <w:u w:val="none"/>
              </w:rPr>
            </w:pPr>
          </w:p>
        </w:tc>
      </w:tr>
      <w:tr w14:paraId="083E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381" w:type="dxa"/>
            <w:vMerge w:val="continue"/>
            <w:tcBorders>
              <w:top w:val="single" w:color="000000" w:sz="8" w:space="0"/>
              <w:left w:val="single" w:color="000000" w:sz="8" w:space="0"/>
              <w:bottom w:val="single" w:color="000000" w:sz="4" w:space="0"/>
              <w:right w:val="single" w:color="000000" w:sz="4" w:space="0"/>
              <w:tl2br w:val="single" w:color="000000" w:sz="8" w:space="0"/>
            </w:tcBorders>
            <w:shd w:val="clear" w:color="auto" w:fill="auto"/>
            <w:vAlign w:val="center"/>
          </w:tcPr>
          <w:p w14:paraId="5CCD7B99">
            <w:pPr>
              <w:jc w:val="center"/>
              <w:rPr>
                <w:rFonts w:hint="eastAsia" w:ascii="宋体" w:hAnsi="宋体" w:eastAsia="宋体" w:cs="宋体"/>
                <w:b/>
                <w:bCs/>
                <w:i w:val="0"/>
                <w:iCs w:val="0"/>
                <w:color w:val="000000"/>
                <w:sz w:val="32"/>
                <w:szCs w:val="32"/>
                <w:u w:val="none"/>
              </w:rPr>
            </w:pPr>
          </w:p>
        </w:tc>
        <w:tc>
          <w:tcPr>
            <w:tcW w:w="2874"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1761DD4">
            <w:pPr>
              <w:jc w:val="center"/>
              <w:rPr>
                <w:rFonts w:hint="eastAsia" w:ascii="宋体" w:hAnsi="宋体" w:eastAsia="宋体" w:cs="宋体"/>
                <w:i w:val="0"/>
                <w:iCs w:val="0"/>
                <w:color w:val="000000"/>
                <w:sz w:val="22"/>
                <w:szCs w:val="22"/>
                <w:u w:val="none"/>
              </w:rPr>
            </w:pPr>
          </w:p>
        </w:tc>
      </w:tr>
      <w:tr w14:paraId="3542A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F94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A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2331</w:t>
            </w:r>
          </w:p>
        </w:tc>
      </w:tr>
      <w:tr w14:paraId="0EBF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CDE6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高盖教学楼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F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2534</w:t>
            </w:r>
          </w:p>
        </w:tc>
      </w:tr>
      <w:tr w14:paraId="5F551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B308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诗山教学楼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E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r>
      <w:tr w14:paraId="1F39E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697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俊秀科学院</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A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2934</w:t>
            </w:r>
          </w:p>
        </w:tc>
      </w:tr>
      <w:tr w14:paraId="4B05F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E05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俊秀外文院</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2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2403</w:t>
            </w:r>
          </w:p>
        </w:tc>
      </w:tr>
      <w:tr w14:paraId="4E6C8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6DA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俊秀文艺院</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2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2628</w:t>
            </w:r>
          </w:p>
        </w:tc>
      </w:tr>
      <w:tr w14:paraId="502E2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A11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图书馆</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D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1772</w:t>
            </w:r>
          </w:p>
        </w:tc>
      </w:tr>
      <w:tr w14:paraId="5BEA5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C0E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俊秀大会堂</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B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1495</w:t>
            </w:r>
          </w:p>
        </w:tc>
      </w:tr>
      <w:tr w14:paraId="1C004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321A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体育馆</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3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w:t>
            </w:r>
          </w:p>
        </w:tc>
      </w:tr>
      <w:tr w14:paraId="3E8F6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48D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梯形教室</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D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r>
      <w:tr w14:paraId="3C7F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B4D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男生楼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7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00004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A564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俊秀楼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F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3497</w:t>
            </w:r>
          </w:p>
        </w:tc>
      </w:tr>
      <w:tr w14:paraId="191E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52D4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振华楼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2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2590</w:t>
            </w:r>
          </w:p>
        </w:tc>
      </w:tr>
      <w:tr w14:paraId="4B3E4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43E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鹏峰</w:t>
            </w:r>
            <w:r>
              <w:rPr>
                <w:rStyle w:val="32"/>
                <w:rFonts w:eastAsia="宋体"/>
                <w:lang w:val="en-US" w:eastAsia="zh-CN" w:bidi="ar"/>
              </w:rPr>
              <w:t>1#</w:t>
            </w:r>
            <w:r>
              <w:rPr>
                <w:rStyle w:val="33"/>
                <w:lang w:val="en-US" w:eastAsia="zh-CN" w:bidi="ar"/>
              </w:rPr>
              <w:t>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1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w:t>
            </w:r>
          </w:p>
        </w:tc>
      </w:tr>
      <w:tr w14:paraId="764CD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F22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鹏峰</w:t>
            </w:r>
            <w:r>
              <w:rPr>
                <w:rStyle w:val="32"/>
                <w:rFonts w:eastAsia="宋体"/>
                <w:lang w:val="en-US" w:eastAsia="zh-CN" w:bidi="ar"/>
              </w:rPr>
              <w:t>2#</w:t>
            </w:r>
            <w:r>
              <w:rPr>
                <w:rStyle w:val="33"/>
                <w:lang w:val="en-US" w:eastAsia="zh-CN" w:bidi="ar"/>
              </w:rPr>
              <w:t>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5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2113</w:t>
            </w:r>
          </w:p>
        </w:tc>
      </w:tr>
      <w:tr w14:paraId="3386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2D5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鹏峰</w:t>
            </w:r>
            <w:r>
              <w:rPr>
                <w:rStyle w:val="32"/>
                <w:rFonts w:eastAsia="宋体"/>
                <w:lang w:val="en-US" w:eastAsia="zh-CN" w:bidi="ar"/>
              </w:rPr>
              <w:t>3#</w:t>
            </w:r>
            <w:r>
              <w:rPr>
                <w:rStyle w:val="33"/>
                <w:lang w:val="en-US" w:eastAsia="zh-CN" w:bidi="ar"/>
              </w:rPr>
              <w:t>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3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w:t>
            </w:r>
          </w:p>
        </w:tc>
      </w:tr>
      <w:tr w14:paraId="6DC90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D95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鹏峰</w:t>
            </w:r>
            <w:r>
              <w:rPr>
                <w:rStyle w:val="32"/>
                <w:rFonts w:eastAsia="宋体"/>
                <w:lang w:val="en-US" w:eastAsia="zh-CN" w:bidi="ar"/>
              </w:rPr>
              <w:t>4#</w:t>
            </w:r>
            <w:r>
              <w:rPr>
                <w:rStyle w:val="33"/>
                <w:lang w:val="en-US" w:eastAsia="zh-CN" w:bidi="ar"/>
              </w:rPr>
              <w:t>楼</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5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1623</w:t>
            </w:r>
          </w:p>
        </w:tc>
      </w:tr>
      <w:tr w14:paraId="524D5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C23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第二餐厅</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C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w:t>
            </w:r>
          </w:p>
        </w:tc>
      </w:tr>
      <w:tr w14:paraId="05A75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5381"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CE1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电房</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C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243EF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381" w:type="dxa"/>
            <w:tcBorders>
              <w:top w:val="single" w:color="000000" w:sz="4" w:space="0"/>
              <w:left w:val="single" w:color="000000" w:sz="8" w:space="0"/>
              <w:bottom w:val="single" w:color="000000" w:sz="8" w:space="0"/>
              <w:right w:val="single" w:color="000000" w:sz="4" w:space="0"/>
            </w:tcBorders>
            <w:shd w:val="clear" w:color="auto" w:fill="auto"/>
            <w:vAlign w:val="center"/>
          </w:tcPr>
          <w:p w14:paraId="6EEDF2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7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8476115">
            <w:pPr>
              <w:keepNext w:val="0"/>
              <w:keepLines w:val="0"/>
              <w:widowControl/>
              <w:suppressLineNumbers w:val="0"/>
              <w:jc w:val="center"/>
              <w:textAlignment w:val="center"/>
              <w:rPr>
                <w:rFonts w:hint="eastAsia" w:ascii="宋体" w:hAnsi="宋体" w:eastAsia="宋体" w:cs="宋体"/>
                <w:b/>
                <w:bCs/>
                <w:i w:val="0"/>
                <w:iCs w:val="0"/>
                <w:color w:val="FF0000"/>
                <w:sz w:val="22"/>
                <w:szCs w:val="22"/>
                <w:u w:val="none"/>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37800</w:t>
            </w:r>
          </w:p>
        </w:tc>
      </w:tr>
    </w:tbl>
    <w:p w14:paraId="690F0E59">
      <w:pPr>
        <w:numPr>
          <w:ilvl w:val="0"/>
          <w:numId w:val="0"/>
        </w:numPr>
        <w:spacing w:line="440" w:lineRule="exact"/>
        <w:ind w:firstLine="480" w:firstLineChars="200"/>
        <w:rPr>
          <w:rFonts w:hint="eastAsia" w:ascii="宋体" w:hAnsi="宋体" w:eastAsia="宋体" w:cs="宋体"/>
          <w:sz w:val="24"/>
          <w:szCs w:val="24"/>
        </w:rPr>
      </w:pPr>
    </w:p>
    <w:p w14:paraId="64DDF9A4">
      <w:pPr>
        <w:numPr>
          <w:ilvl w:val="0"/>
          <w:numId w:val="0"/>
        </w:num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（二）检测项目清单</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5"/>
        <w:gridCol w:w="1623"/>
        <w:gridCol w:w="6503"/>
      </w:tblGrid>
      <w:tr w14:paraId="7C58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3"/>
            <w:tcBorders>
              <w:top w:val="single" w:color="000000" w:sz="4" w:space="0"/>
              <w:left w:val="single" w:color="000000" w:sz="4" w:space="0"/>
              <w:bottom w:val="single" w:color="000000" w:sz="4" w:space="0"/>
              <w:right w:val="single" w:color="000000" w:sz="4" w:space="0"/>
            </w:tcBorders>
            <w:noWrap w:val="0"/>
            <w:vAlign w:val="center"/>
          </w:tcPr>
          <w:p w14:paraId="07080EF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一、供配电装置</w:t>
            </w:r>
          </w:p>
        </w:tc>
      </w:tr>
      <w:tr w14:paraId="379A9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tcBorders>
              <w:top w:val="single" w:color="000000" w:sz="4" w:space="0"/>
              <w:left w:val="single" w:color="000000" w:sz="4" w:space="0"/>
              <w:bottom w:val="single" w:color="000000" w:sz="4" w:space="0"/>
              <w:right w:val="single" w:color="000000" w:sz="4" w:space="0"/>
            </w:tcBorders>
            <w:noWrap w:val="0"/>
            <w:vAlign w:val="center"/>
          </w:tcPr>
          <w:p w14:paraId="07AAC0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833" w:type="pct"/>
            <w:tcBorders>
              <w:top w:val="single" w:color="000000" w:sz="4" w:space="0"/>
              <w:left w:val="single" w:color="000000" w:sz="4" w:space="0"/>
              <w:bottom w:val="single" w:color="000000" w:sz="4" w:space="0"/>
              <w:right w:val="single" w:color="000000" w:sz="4" w:space="0"/>
            </w:tcBorders>
            <w:noWrap w:val="0"/>
            <w:vAlign w:val="center"/>
          </w:tcPr>
          <w:p w14:paraId="7BE80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检测项目</w:t>
            </w:r>
          </w:p>
        </w:tc>
        <w:tc>
          <w:tcPr>
            <w:tcW w:w="3337" w:type="pct"/>
            <w:tcBorders>
              <w:top w:val="single" w:color="000000" w:sz="4" w:space="0"/>
              <w:left w:val="single" w:color="000000" w:sz="4" w:space="0"/>
              <w:bottom w:val="single" w:color="000000" w:sz="4" w:space="0"/>
              <w:right w:val="single" w:color="000000" w:sz="4" w:space="0"/>
            </w:tcBorders>
            <w:noWrap w:val="0"/>
            <w:vAlign w:val="center"/>
          </w:tcPr>
          <w:p w14:paraId="2EE89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技术要求</w:t>
            </w:r>
          </w:p>
        </w:tc>
      </w:tr>
      <w:tr w14:paraId="7ACF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217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E0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变配电室建筑要求和设备安装要求</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3053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1.变压器室、配电室、电容器室的进户门应向外开启；相邻配电室之间有门时，此门应向较低压方向开启或双向开启。</w:t>
            </w:r>
          </w:p>
        </w:tc>
      </w:tr>
      <w:tr w14:paraId="0D0A7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2594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F772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789B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2.长度大于7m的配电室应设两个出口，并宜布置在配电室两端；长度大于60m时，宜增加一个出口。</w:t>
            </w:r>
          </w:p>
        </w:tc>
      </w:tr>
      <w:tr w14:paraId="633B8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1C61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FDADE6">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938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3.当变电所采用双层布置时，位于楼上的配电室应至少设一 个通向室外的平台或通道出口。</w:t>
            </w:r>
          </w:p>
        </w:tc>
      </w:tr>
      <w:tr w14:paraId="3E521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28EF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7BA59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0ED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4.高压配电室宜设不能开启的自然采光窗，窗台距室外地坪不宜低于1.8m。</w:t>
            </w:r>
          </w:p>
        </w:tc>
      </w:tr>
      <w:tr w14:paraId="3BB79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1AFDF">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F50F6B">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6D5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5.配电室临街的一面不宜开窗。</w:t>
            </w:r>
          </w:p>
        </w:tc>
      </w:tr>
      <w:tr w14:paraId="7554B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FFA84">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8E0854">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FAB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6.变压器室、配电室、电容器室等应设置防止雨、雪和小动物从采光窗、通风窗、门、电缆沟等进入室内的设施。</w:t>
            </w:r>
          </w:p>
        </w:tc>
      </w:tr>
      <w:tr w14:paraId="3E634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335FF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A0E8B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6A3A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7.变压器室、电容器室、配电室、控制室内，不应有与其无关的管道和线路通过。</w:t>
            </w:r>
          </w:p>
        </w:tc>
      </w:tr>
      <w:tr w14:paraId="0FBEE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0F3D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306777">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631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8.电缆穿过隔墙、楼板的孔洞处均应实施阻火封堵。</w:t>
            </w:r>
          </w:p>
        </w:tc>
      </w:tr>
      <w:tr w14:paraId="0E95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E0A68">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646269">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3C8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9.灯具安装应牢固，应急灯照度应满足室内工作需要。</w:t>
            </w:r>
          </w:p>
        </w:tc>
      </w:tr>
      <w:tr w14:paraId="48EF4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59EE4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E516A9">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237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10.消防用电设备专用的供电回路，其配电设备应有明显标志</w:t>
            </w:r>
          </w:p>
        </w:tc>
      </w:tr>
      <w:tr w14:paraId="427DE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AE0D9">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D883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9FB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11.地上变压器宜采用自然通风，地下变压器应设机械送风系统。</w:t>
            </w:r>
          </w:p>
        </w:tc>
      </w:tr>
      <w:tr w14:paraId="76BF6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E0B7A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308B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F38D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12.成排布置的配电屏，其长度超过6m时，屏后面的通道应有两个通向本室或其他房间的出口并宜布置在通道的两端。当两出口之间的距离超过15m时，期间还宜增加出口。</w:t>
            </w:r>
          </w:p>
        </w:tc>
      </w:tr>
      <w:tr w14:paraId="69EF3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41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FF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配电箱 （盘、屏、柜）</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567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1.成套配电柜、台、箱、盘，各种仪表指示正常。</w:t>
            </w:r>
          </w:p>
        </w:tc>
      </w:tr>
      <w:tr w14:paraId="0357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44B6A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71FAA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A803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2.电器的衔铁吸合后应无异常响声</w:t>
            </w:r>
          </w:p>
        </w:tc>
      </w:tr>
      <w:tr w14:paraId="65E7E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CA440">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7CF9A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5A1C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3.接线应排列整齐、清晰、美观，导线绝缘应良好、无损伤。</w:t>
            </w:r>
          </w:p>
        </w:tc>
      </w:tr>
      <w:tr w14:paraId="0CF1C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A1CEF0">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6F77F">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80A2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4.柜、台、箱、盘的金属框架及基础型钢必须接地（PE）或接零（PEN)可靠。</w:t>
            </w:r>
          </w:p>
        </w:tc>
      </w:tr>
      <w:tr w14:paraId="28767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CF50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DC119B">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BAD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5.母线的涂改：</w:t>
            </w:r>
          </w:p>
        </w:tc>
      </w:tr>
      <w:tr w14:paraId="46EC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2BABB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CCCFB4">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55F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交流.A相为黄色、B相为绿色、C相为红色；</w:t>
            </w:r>
          </w:p>
        </w:tc>
      </w:tr>
      <w:tr w14:paraId="57AD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73B14">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BEB2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78A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直流.正极为赭色、负极为蓝色；</w:t>
            </w:r>
          </w:p>
        </w:tc>
      </w:tr>
      <w:tr w14:paraId="6B749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51339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26CE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005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6.柜、屏、台、箱、盘间线路的线间和线对地间绝缘电阻值，馈电线路必须大于0.5MΩ</w:t>
            </w:r>
          </w:p>
        </w:tc>
      </w:tr>
      <w:tr w14:paraId="5836B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58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DF5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照明配电箱</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B99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1.照明配电箱（盘）安装牢靠，暗装配电箱箱盖紧贴墙面。</w:t>
            </w:r>
          </w:p>
        </w:tc>
      </w:tr>
      <w:tr w14:paraId="334B8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6D86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4D56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8AF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2.照明配电箱（盘）内接线整齐，回路编号齐全。</w:t>
            </w:r>
          </w:p>
        </w:tc>
      </w:tr>
      <w:tr w14:paraId="120EB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5480B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8FCD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610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3.照明配电箱（盘）不应采用可燃材料制作。</w:t>
            </w:r>
          </w:p>
        </w:tc>
      </w:tr>
      <w:tr w14:paraId="4902E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F128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FE4D23">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079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4.照明配电箱底边距地面为1.5m。</w:t>
            </w:r>
          </w:p>
        </w:tc>
      </w:tr>
      <w:tr w14:paraId="5CDFB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63785D">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E1823">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1588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5.照明配电箱（盘）内开关动作灵活可靠。</w:t>
            </w:r>
          </w:p>
        </w:tc>
      </w:tr>
      <w:tr w14:paraId="5B67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0261B">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04685">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85A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6.照明箱（盘）内，分别设置零线（N）和保护地线（PE线）汇流排，零线和保护地线经汇流排配出。</w:t>
            </w:r>
          </w:p>
        </w:tc>
      </w:tr>
      <w:tr w14:paraId="1FAF5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02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3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33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低压供配电装置运行状态的要求</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461E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大容量（630A及以上）导线或母线连接处，在负荷运行情况下应做温度抽测记录，温升值稳定且不大于设计值。</w:t>
            </w:r>
          </w:p>
        </w:tc>
      </w:tr>
      <w:tr w14:paraId="6AFAB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CC2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AAB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变配电装置触头、接线端子的要求</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508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1.每个接线端子的每侧接线宜为1根，不得超过2根。对于插接式端子，不同截面的两根导线不得接在同一端子中：螺栓连接端子接两根导线时，中间应加平垫片。</w:t>
            </w:r>
          </w:p>
        </w:tc>
      </w:tr>
      <w:tr w14:paraId="662A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980E1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B5243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6A30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2.接线端子应与导线截面匹配，不应使用小端子配大截面导线。</w:t>
            </w:r>
          </w:p>
        </w:tc>
      </w:tr>
      <w:tr w14:paraId="4CA9D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2159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B4B46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B80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3.进线接在进线端，即固定触头接线端，负荷侧导线接在出线侧，即可动触头接线端。</w:t>
            </w:r>
          </w:p>
        </w:tc>
      </w:tr>
      <w:tr w14:paraId="0A9E2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554F75">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0A8E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BDB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4.电器接线应采用铜质或有电镀金属防锈层的螺栓和螺钉，连接时应拧紧，且应有防松装置。</w:t>
            </w:r>
          </w:p>
        </w:tc>
      </w:tr>
      <w:tr w14:paraId="29B38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B0AC2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096FAB">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FEA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5.截面积在10mm²及以下的单股铜芯线和单股铝芯线直接与设备、器具的端子连接；</w:t>
            </w:r>
          </w:p>
        </w:tc>
      </w:tr>
      <w:tr w14:paraId="7899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24560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1680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5B75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6.截面积在2.5mm²及以下的多股铜芯线拧紧搪锡或接续端子后与设备。器具的端子连接；</w:t>
            </w:r>
          </w:p>
        </w:tc>
      </w:tr>
      <w:tr w14:paraId="3DA4D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8EA6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249C3">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5E1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7.截面积大于2.5mm²及以下的多股铜芯线，除设备自带插接式端子外，接续端子后与设备或器具的端子连接；多股铜芯线与插接式端子连接前，端部拧紧搪锡。</w:t>
            </w:r>
          </w:p>
        </w:tc>
      </w:tr>
      <w:tr w14:paraId="156F9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66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43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自备发电机</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87FB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1.发电机组至低压配电柜馈电线路的相间、相对地间的绝缘电阻值应大于0.5MΩ。</w:t>
            </w:r>
          </w:p>
        </w:tc>
      </w:tr>
      <w:tr w14:paraId="0496B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39589">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FEAC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EAB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2.发电机中性线（工作零线）应与接地干线直接连接，螺栓防松零件齐全，且有标识。</w:t>
            </w:r>
          </w:p>
        </w:tc>
      </w:tr>
      <w:tr w14:paraId="60A8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8A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3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574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不间断电源</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CE9A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不间断电源装置的可接近裸露导体应接地（PE）或接零（PEN）可靠，且有标识。</w:t>
            </w:r>
          </w:p>
        </w:tc>
      </w:tr>
      <w:tr w14:paraId="6EF5F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8BAA3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二、低压用电设备</w:t>
            </w:r>
          </w:p>
        </w:tc>
      </w:tr>
      <w:tr w14:paraId="0DB62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96F62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83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E648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检测项目</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CE407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技 术 要 求</w:t>
            </w:r>
          </w:p>
        </w:tc>
      </w:tr>
      <w:tr w14:paraId="7983E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5C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97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普通灯具</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B4C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1、单相回路灯具≤25只：I≤16A</w:t>
            </w:r>
          </w:p>
        </w:tc>
      </w:tr>
      <w:tr w14:paraId="6A04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89F72">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48394">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ECAE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2、照明器靠近可燃物时，应采取隔热、散热等保护措施</w:t>
            </w:r>
          </w:p>
        </w:tc>
      </w:tr>
      <w:tr w14:paraId="795B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F9FEF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7CEA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1300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3、装有卤钨灯和100W及以上白炽灯泡的吸顶灯、槽灯、嵌入式灯应采用瓷管、石棉、玻璃丝灯非燃烧材料做隔热保护。</w:t>
            </w:r>
          </w:p>
        </w:tc>
      </w:tr>
      <w:tr w14:paraId="116A3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876F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1F747">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D9D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4、应急照明灯和灯光疏散指示标志应设玻璃等不燃材料的保护罩。</w:t>
            </w:r>
          </w:p>
        </w:tc>
      </w:tr>
      <w:tr w14:paraId="15817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E4FD19">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7F803">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647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5、碘钨灯、卤钨灯、60W以上的白炽灯等高温照明灯具不应在库房内装设；可燃物品库房不应设卤钨灯等高温照明器</w:t>
            </w:r>
          </w:p>
        </w:tc>
      </w:tr>
      <w:tr w14:paraId="0968D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68F5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6B9E3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A74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6、灯具外涂层完整，无损伤，附件安全。</w:t>
            </w:r>
          </w:p>
        </w:tc>
      </w:tr>
      <w:tr w14:paraId="76BC0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138C4">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B51F9">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CB3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7、防爆灯具铭牌上有防爆标志和防爆合格证号，普通灯具有安全认证标志。</w:t>
            </w:r>
          </w:p>
        </w:tc>
      </w:tr>
      <w:tr w14:paraId="49B59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CAE50">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28B3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A346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8、当灯具距地面高度小于2.4m时，灯具的可接近裸露导体必须接地（PE)或接零（PEN）可靠，并应有专用接地螺栓，且有标识。</w:t>
            </w:r>
          </w:p>
        </w:tc>
      </w:tr>
      <w:tr w14:paraId="23B73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57A39">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5AA4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7E2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9、变电所内、高低压配电设备及裸母线的正上方不应安装灯具。</w:t>
            </w:r>
          </w:p>
        </w:tc>
      </w:tr>
      <w:tr w14:paraId="47442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B52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A98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专用灯具安装</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037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1、霓虹灯管完好，无破裂。</w:t>
            </w:r>
          </w:p>
        </w:tc>
      </w:tr>
      <w:tr w14:paraId="69206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E71BD">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23AF1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32D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2、霓虹灯专用变压二次电线和灯管间的连接线采用额定电压大于15KV的高压绝缘电线</w:t>
            </w:r>
          </w:p>
        </w:tc>
      </w:tr>
      <w:tr w14:paraId="5C43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0237F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F5617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C60F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3、灯管采用专用的绝缘支架固定，且牢固可靠；灯管固定后，与建筑物、构筑物表现的距离不小于20mm.</w:t>
            </w:r>
          </w:p>
        </w:tc>
      </w:tr>
      <w:tr w14:paraId="57676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7254">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AB6A2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941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4、霓虹灯变压器露天安装时应有防雨措施。</w:t>
            </w:r>
          </w:p>
        </w:tc>
      </w:tr>
      <w:tr w14:paraId="32DE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077E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EACD8">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41E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5、霓虹灯变压器安装位置应方便检修，不装在吊平顶内。</w:t>
            </w:r>
          </w:p>
        </w:tc>
      </w:tr>
      <w:tr w14:paraId="5D31A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0CC2D8">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2EC7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CD3B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6、霓虹灯变压器明装时高≥3m；低于3m时采取防护措施。</w:t>
            </w:r>
          </w:p>
        </w:tc>
      </w:tr>
      <w:tr w14:paraId="17142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E5485">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74BDF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682B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7、游泳池和类似场所灯具的等电位联结应可靠，电源的导管应采用绝缘导管。</w:t>
            </w:r>
          </w:p>
        </w:tc>
      </w:tr>
      <w:tr w14:paraId="48B58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1A7E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050E7">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A55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8、舞台照明每一回路的可载容量应与所选用的调光设备的回路输出容量相适应。</w:t>
            </w:r>
          </w:p>
        </w:tc>
      </w:tr>
      <w:tr w14:paraId="5C0C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1EC5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420C68">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97F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9、舞台灯具以及灯用附件等高温部位靠近可燃时，应采取隔热、散热等防火保护措施。</w:t>
            </w:r>
          </w:p>
        </w:tc>
      </w:tr>
      <w:tr w14:paraId="1E177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A57355">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B859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1D5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10、舞台用电设备应接地或接零保护。</w:t>
            </w:r>
          </w:p>
        </w:tc>
      </w:tr>
      <w:tr w14:paraId="2F7C7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2FB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70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开关插座</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6A5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1、当交流、直流或不同电压等级的插座安装在同一场所时，应有明显的区别，且必须选择不同结构、不同规格和不能互换的插座；配套的插座应按交流、直流或不同电压等级区别使用。</w:t>
            </w:r>
          </w:p>
        </w:tc>
      </w:tr>
      <w:tr w14:paraId="47780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815808">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B0EA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021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2、开关及插座应采用专用盒，专用盒四周不应有空隙，盖板应端正，并紧贴墙面。</w:t>
            </w:r>
          </w:p>
        </w:tc>
      </w:tr>
      <w:tr w14:paraId="51C04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21BC1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391818">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252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3、暗装的开关面板应紧贴墙面，四周无缝隙，安装牢固，表面光滑整洁、无碎裂、划伤，装饰帽齐全。</w:t>
            </w:r>
          </w:p>
        </w:tc>
      </w:tr>
      <w:tr w14:paraId="62155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0196D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1C76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5AD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4、相线经开关控制。</w:t>
            </w:r>
          </w:p>
        </w:tc>
      </w:tr>
      <w:tr w14:paraId="7484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6F9488">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73E7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F14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5、地插座面板与地面齐平或紧贴地面，盖板牢固，密封良好。</w:t>
            </w:r>
          </w:p>
        </w:tc>
      </w:tr>
      <w:tr w14:paraId="5EB1F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1937D">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418FB">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B883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6、当不采用安全型插座时，托儿所、幼儿园及小学等儿童好活动场所安装高度不小于1.8m.</w:t>
            </w:r>
          </w:p>
        </w:tc>
      </w:tr>
      <w:tr w14:paraId="5551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213A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A655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7814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7、潮湿场所应采用密封封型并带保护接地触头的保护型插座，安装高度不低于1.5m</w:t>
            </w:r>
          </w:p>
        </w:tc>
      </w:tr>
      <w:tr w14:paraId="0955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79C42">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AC046">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ED3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8、单项两孔插座，面对插座的右孔或上孔与相线连接，左孔或下孔与零线连接。</w:t>
            </w:r>
          </w:p>
        </w:tc>
      </w:tr>
      <w:tr w14:paraId="1529B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4E379">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708FE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76B8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9、单相三孔插座，面对插座的右孔与相线连接，左孔与零线连接</w:t>
            </w:r>
          </w:p>
        </w:tc>
      </w:tr>
      <w:tr w14:paraId="7F5C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3E47A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8E8855">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797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10、单相三孔、三相四孔及三相五孔插座接地（PE)或接零（PEN）线接在上孔。</w:t>
            </w:r>
          </w:p>
        </w:tc>
      </w:tr>
      <w:tr w14:paraId="2EA7C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44235B">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5BAB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352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11、同一场所的三相插座，接线的相序一致。接地（PE)或接零（PEN）线在插座间不串联连接。</w:t>
            </w:r>
          </w:p>
        </w:tc>
      </w:tr>
      <w:tr w14:paraId="3ADC5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91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3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AB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日光灯</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4BBE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不应直接安装在可燃装修材料或可燃构件上。</w:t>
            </w:r>
          </w:p>
        </w:tc>
      </w:tr>
      <w:tr w14:paraId="0D1D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186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AAE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低压电动机、电加热及电动执行机构</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D83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1、电动机、电加热器及电动执行机构，绝缘电阻值应大于0.5MΩ</w:t>
            </w:r>
          </w:p>
        </w:tc>
      </w:tr>
      <w:tr w14:paraId="65473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34884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974F39">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DD13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2、电气设备安装应牢固，螺栓及防松零件齐全，不松动，防水防潮电气设备的接线入口及接线盒盖应做密封处理。</w:t>
            </w:r>
          </w:p>
        </w:tc>
      </w:tr>
      <w:tr w14:paraId="30F14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F004DC">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E83E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331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3、电动机应装设短路保护和过载保护。</w:t>
            </w:r>
          </w:p>
        </w:tc>
      </w:tr>
      <w:tr w14:paraId="77BA6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116C9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07AA1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5A21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4、电动机，电加热及电动机执行机构的可接的裸露导致必须接地(PE)或接零（PEN).</w:t>
            </w:r>
          </w:p>
        </w:tc>
      </w:tr>
      <w:tr w14:paraId="34A10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C6D64">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FF69F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2773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5、电动机应试通电，检查转向和机械转动有无异常情况。</w:t>
            </w:r>
          </w:p>
        </w:tc>
      </w:tr>
      <w:tr w14:paraId="2B3E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77BBE">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760AD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2D26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6、电动执行机构的动作方向及指示，应与工艺装置的设计要求保持一致。</w:t>
            </w:r>
          </w:p>
        </w:tc>
      </w:tr>
      <w:tr w14:paraId="7D74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431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三、室内低压配电线路</w:t>
            </w:r>
          </w:p>
        </w:tc>
      </w:tr>
      <w:tr w14:paraId="36841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9D6D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83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782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检测项目</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F98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技 术 要 求</w:t>
            </w:r>
          </w:p>
        </w:tc>
      </w:tr>
      <w:tr w14:paraId="28C7E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22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D2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缆线选择</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168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1、电缆选择一般采用铜芯</w:t>
            </w:r>
          </w:p>
        </w:tc>
      </w:tr>
      <w:tr w14:paraId="1F28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6B60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C31A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85C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2、移动设备用橡皮电缆</w:t>
            </w:r>
          </w:p>
        </w:tc>
      </w:tr>
      <w:tr w14:paraId="69C1C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B44DE9">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DBD7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3ED4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3、60℃以上场所，用耐热电缆。</w:t>
            </w:r>
          </w:p>
        </w:tc>
      </w:tr>
      <w:tr w14:paraId="3D22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952A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0940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1A3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4、100℃以上环境，宜用矿物电缆。</w:t>
            </w:r>
          </w:p>
        </w:tc>
      </w:tr>
      <w:tr w14:paraId="181C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CB346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EBAB3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B86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5、由可控硅调光装置配出的舞台照明线路宜采用单相配电</w:t>
            </w:r>
          </w:p>
        </w:tc>
      </w:tr>
      <w:tr w14:paraId="74232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FF35F">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3F4B9">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4D3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6、由晶闸管调光装置配出的舞台照明线路宜采用单相配电。当采用三相配电时，宜每相分别配置中性导体，当共用中性导体时，中性导体截面不应小于相导体截面的2倍</w:t>
            </w:r>
          </w:p>
        </w:tc>
      </w:tr>
      <w:tr w14:paraId="64035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8D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F12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电缆敷设</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AEE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1、排列整齐、加固定、不交叉、并装设标志牌。</w:t>
            </w:r>
          </w:p>
        </w:tc>
      </w:tr>
      <w:tr w14:paraId="5610B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5499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A1A87">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1AD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2、电缆在室内埋设或通过墙、楼板时应穿钢管保护。</w:t>
            </w:r>
          </w:p>
        </w:tc>
      </w:tr>
      <w:tr w14:paraId="1EB4B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04D10D">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978834">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0BA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3、三相或单相的交流单芯电缆，不得单独穿于钢导管内</w:t>
            </w:r>
          </w:p>
        </w:tc>
      </w:tr>
      <w:tr w14:paraId="74ABD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4AEACE">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4F3A1B">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1F1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4、电力电缆不应和输送甲、乙、丙类液体管道、可燃气体管道、热力管道敷设在同一管沟内</w:t>
            </w:r>
          </w:p>
        </w:tc>
      </w:tr>
      <w:tr w14:paraId="353C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DCC50">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B2379">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729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5、电缆进入电缆沟、竖井、建筑物、盘（柜）以及管子管口处等做密封处理</w:t>
            </w:r>
          </w:p>
        </w:tc>
      </w:tr>
      <w:tr w14:paraId="42323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BD18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0B7BB7">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3926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6、三相四线制系统中应采用四芯电力电缆，不应采用三芯电缆另加一根单芯电缆作中性线。</w:t>
            </w:r>
          </w:p>
        </w:tc>
      </w:tr>
      <w:tr w14:paraId="7DE79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0698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096E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E001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7、舞台照明设备的接电方法，应采用专用接插件连接，接插件额定容量应有足够余量。</w:t>
            </w:r>
          </w:p>
        </w:tc>
      </w:tr>
      <w:tr w14:paraId="02C98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4D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19D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电缆敷设</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B5F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1、不同回路、不同电压和交流与直流的电线，不应穿于同一导管内；</w:t>
            </w:r>
          </w:p>
        </w:tc>
      </w:tr>
      <w:tr w14:paraId="00FAD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0AB92D">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149C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68E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2、同一交流回路电线应穿于同一金属导管内。</w:t>
            </w:r>
          </w:p>
        </w:tc>
      </w:tr>
      <w:tr w14:paraId="0C8A1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6FED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A22A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399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3、电线在线槽或导管内有一定余量。</w:t>
            </w:r>
          </w:p>
        </w:tc>
      </w:tr>
      <w:tr w14:paraId="7FFC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A4AFA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CE05D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584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4、建筑物顶棚内、保温层及装饰面板内，严禁采用直敷布线。</w:t>
            </w:r>
          </w:p>
        </w:tc>
      </w:tr>
      <w:tr w14:paraId="40C57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13E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F0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线路要求</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32FD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1、线路易受机械损伤部位应保护。</w:t>
            </w:r>
          </w:p>
        </w:tc>
      </w:tr>
      <w:tr w14:paraId="7444A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675F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7B3B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5257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2、导线接头应设在接线盒（箱）内。</w:t>
            </w:r>
          </w:p>
        </w:tc>
      </w:tr>
      <w:tr w14:paraId="10FC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B1D05">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A537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DDC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3、配电线路不得穿越通风管道内腔或敷设在通风管道外壁上，穿金属管保护的配电线路可紧贴通风管道外壁敷设。</w:t>
            </w:r>
          </w:p>
        </w:tc>
      </w:tr>
      <w:tr w14:paraId="40F7F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DF70E">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91D515">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DF9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4、竖井内布线时，不应和电梯井、管道间共用同一竖井</w:t>
            </w:r>
          </w:p>
        </w:tc>
      </w:tr>
      <w:tr w14:paraId="4A42A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11D2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2FAF76">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499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5、刚性导管经柔性导管与电气设备、器具连接，柔性导管的长度在动力工程中不大于0.8m，在照明工程中不大于1.2m</w:t>
            </w:r>
          </w:p>
        </w:tc>
      </w:tr>
      <w:tr w14:paraId="26C64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C985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9A815">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4B6D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6、低压电线和电缆，线间和线对地间的绝缘电阻必须大于0.5mΩ</w:t>
            </w:r>
          </w:p>
        </w:tc>
      </w:tr>
      <w:tr w14:paraId="32E9B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8E5EA5">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82C486">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2098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7、桑拿浴室内线路应为双重绝缘，不得采用金属外皮的电缆或普通钢管布线。</w:t>
            </w:r>
          </w:p>
        </w:tc>
      </w:tr>
      <w:tr w14:paraId="4BB71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E0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F4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封闭母线、插接式母线安装</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A571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1、室内采用铜铝过镀板，铜导体搭接面搪锡。</w:t>
            </w:r>
          </w:p>
        </w:tc>
      </w:tr>
      <w:tr w14:paraId="5B45E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6800EE">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C9CA2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7B2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2、三相交流母线：A（L1）-黄、B（L2）-绿、C（L3）-红</w:t>
            </w:r>
          </w:p>
        </w:tc>
      </w:tr>
      <w:tr w14:paraId="3C56C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62B63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95292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5679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3、直流母线：正-赭、负-篮。</w:t>
            </w:r>
          </w:p>
        </w:tc>
      </w:tr>
      <w:tr w14:paraId="33D5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8E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EE9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桥架安装</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5BD2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1、当设计无要求时，电缆桥架水平安装的支架间距为1.5-3m：垂直安装的支架间距不大于2m.</w:t>
            </w:r>
          </w:p>
        </w:tc>
      </w:tr>
      <w:tr w14:paraId="4BC96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EAEE2F">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487D3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050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2、敷设在竖井内和穿越不同防火区的桥架，按设计要求位置，有防火隔堵措施。</w:t>
            </w:r>
          </w:p>
        </w:tc>
      </w:tr>
      <w:tr w14:paraId="0BBAD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F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2C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电缆沟和电缆竖井</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82C0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1、应采取防水、排水措施。</w:t>
            </w:r>
          </w:p>
        </w:tc>
      </w:tr>
      <w:tr w14:paraId="4A0D4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F59B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B57B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6A5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2、竖井有接地干线和接地端子。</w:t>
            </w:r>
          </w:p>
        </w:tc>
      </w:tr>
      <w:tr w14:paraId="00949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8F2DB2">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F2038">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69D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3、竖井不应有与其无关管道等通过。</w:t>
            </w:r>
          </w:p>
        </w:tc>
      </w:tr>
      <w:tr w14:paraId="3F95A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526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F2B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保护措施</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4537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1、电气线路应装设短路、过负荷保护。</w:t>
            </w:r>
          </w:p>
        </w:tc>
      </w:tr>
      <w:tr w14:paraId="7FCF0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E427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A53F33">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74C0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2、采用的上下级保护电器，动作应有选择性，能协调配合。</w:t>
            </w:r>
          </w:p>
        </w:tc>
      </w:tr>
      <w:tr w14:paraId="717D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FB595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C9B28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47EC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3、配电线路敷设在有可燃物的闷顶内，应采取穿金属管等防火保护措施。</w:t>
            </w:r>
          </w:p>
        </w:tc>
      </w:tr>
      <w:tr w14:paraId="723A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ECD62">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BEF49">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799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4、敷设在有可燃物的吊顶内时，宜采取穿金属管、采用封闭式金属线槽或难燃材料的塑料管等防火保护措施。</w:t>
            </w:r>
          </w:p>
        </w:tc>
      </w:tr>
      <w:tr w14:paraId="0D75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F5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7F59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防火封堵</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058B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1、建筑内的电缆井、管道井应在每层楼板处采用不低于楼板耐火极限的不燃烧体或防火封堵材料封堵。</w:t>
            </w:r>
          </w:p>
        </w:tc>
      </w:tr>
      <w:tr w14:paraId="5063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C59E85">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24D304">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6E7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2、建筑内的电缆井、管道井与房间、走道等相连通的孔洞应采用防火封堵材料封堵。</w:t>
            </w:r>
          </w:p>
        </w:tc>
      </w:tr>
      <w:tr w14:paraId="15E8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4A91B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四、接地和等电位</w:t>
            </w:r>
          </w:p>
        </w:tc>
      </w:tr>
      <w:tr w14:paraId="654E4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DF1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83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984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检测项目</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14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 术 要 求</w:t>
            </w:r>
          </w:p>
        </w:tc>
      </w:tr>
      <w:tr w14:paraId="7163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90F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00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一般规定</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7EF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接地或接零的设备部位：电机、电器、移动用电器具等的金属底座和外壳：配电、控制、保护用的屏（柜、箱）及操作台等的金属框架和底座；电缆桥架、支架和井架：封闭母线的外壳及其他裸露的金属部分；电热设备的金属外壳；控制电缆的金属保护层。</w:t>
            </w:r>
          </w:p>
        </w:tc>
      </w:tr>
      <w:tr w14:paraId="66ADA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1639E">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49E4FA">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DC0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2、接地（PE)或接零（PEN）支线必须单独与接地（PE)或接零（OEN）干线相连接，不得串联连接</w:t>
            </w:r>
          </w:p>
        </w:tc>
      </w:tr>
      <w:tr w14:paraId="65F7A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3731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C0EE6">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E32F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3、变压器室、高低压开关室内的接地干线应有不少于2处于接地装置引出干线连接。</w:t>
            </w:r>
          </w:p>
        </w:tc>
      </w:tr>
      <w:tr w14:paraId="4933D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2564F">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E7EA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091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4、当利用金属构件、金属管道做接地线时，应在构件或管道与接地干线间焊接金属跨接线。</w:t>
            </w:r>
          </w:p>
        </w:tc>
      </w:tr>
      <w:tr w14:paraId="35CA2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C6F2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5C4F64">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E51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5、包括配线用的钢导管及金属线槽在内的外界可导电部分，严禁用作PEN线。</w:t>
            </w:r>
          </w:p>
        </w:tc>
      </w:tr>
      <w:tr w14:paraId="283BA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959B6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2533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A2CC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6、民用建筑物内电气装置应采用总等电位联结。</w:t>
            </w:r>
          </w:p>
        </w:tc>
      </w:tr>
      <w:tr w14:paraId="29F4F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313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F5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安装要求</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A1B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1、发电机中性线（工作零线）应与接地干线直接连接，螺栓防松零件齐全，且有标识。</w:t>
            </w:r>
          </w:p>
        </w:tc>
      </w:tr>
      <w:tr w14:paraId="72483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6EA2F">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89E56">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4607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2、不间断电源输出端的中性线（N极），必须与由接地装置直接引来的接地干线相连接，做重复接地。</w:t>
            </w:r>
          </w:p>
        </w:tc>
      </w:tr>
      <w:tr w14:paraId="791D9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6BF5E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56928">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F52F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3、保护网（罩）及母线支架等可接近裸露导体应接地（PE)或接零（PEN）可靠，不应作为接地（PE)或接零（PEN）的连接导体。</w:t>
            </w:r>
          </w:p>
        </w:tc>
      </w:tr>
      <w:tr w14:paraId="69051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91591E">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A9FA8">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1BD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4、低压电器组合外壳需接地（PE）或接零（PEN)应连接可靠</w:t>
            </w:r>
          </w:p>
        </w:tc>
      </w:tr>
      <w:tr w14:paraId="385C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C6F41">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C9BB61">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6AA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5、金属电缆支架、电缆导管必须接地（PE）或接零（PEN)可靠</w:t>
            </w:r>
          </w:p>
        </w:tc>
      </w:tr>
      <w:tr w14:paraId="7978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1231D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C2C8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9E6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6、金属电缆桥架和引入或引出的金属电缆导管必须接地（PE）或接零（PEN)可靠</w:t>
            </w:r>
          </w:p>
        </w:tc>
      </w:tr>
      <w:tr w14:paraId="404E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A7B74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E11CBF">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8781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7、当灯具距地面高度小于2.4米时，灯具的可靠性裸露导体必须接地（PE）或接零（PEN)可靠，并应有专用接地螺栓，且有标识。</w:t>
            </w:r>
          </w:p>
        </w:tc>
      </w:tr>
      <w:tr w14:paraId="33599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6439C7">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931BA6">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9CF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8、柜、屏、台、盘、箱的金属框架及基础型钢必须接地（PE）或接零（PEN)可靠；装有电器的门可开，门和框架的接地端子间应用裸编制铜线连接，且有标识。</w:t>
            </w:r>
          </w:p>
        </w:tc>
      </w:tr>
      <w:tr w14:paraId="324DC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9ECCD">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EA520">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E9C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9、总等电位联结线的截面不应小于装置的最大保护导体截面的一半，并不应小于6mm²；当联结导体采用铜导体时，其截面不应大于25mm²；当为其他金属时，其截面应承载与25mm²铜导体相当的导流量。</w:t>
            </w:r>
          </w:p>
        </w:tc>
      </w:tr>
      <w:tr w14:paraId="728B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B46720">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FD205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490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10、金属的导管和线槽必须接地（PE）或接零（PEN)可靠</w:t>
            </w:r>
          </w:p>
        </w:tc>
      </w:tr>
      <w:tr w14:paraId="60B5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BCE28F">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B1D2D">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A56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11、在配电线中固定敷设的铜保护接地中性导体的截面积不应小于  10mm²，铝保护接地中性导体的截面积不应小于16mm²</w:t>
            </w:r>
          </w:p>
        </w:tc>
      </w:tr>
      <w:tr w14:paraId="6E9F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807B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A0C0F5">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89F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12、接地干线的连接应采用焊接，焊接必须牢固无虚焊。有色金属接地干线不能采用焊接时，可采用螺栓连接。电气设备上的接地线应采用镀锌螺栓连接。</w:t>
            </w:r>
          </w:p>
        </w:tc>
      </w:tr>
      <w:tr w14:paraId="6189F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A01E3">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F22A6F">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470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13、等电位联结中各联结点应牢固连接，可靠导电。</w:t>
            </w:r>
          </w:p>
        </w:tc>
      </w:tr>
      <w:tr w14:paraId="3BD7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F91A44">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3D9F92">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DB0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14、保护地线截面，应满足回路保护电器可靠动作要求。</w:t>
            </w:r>
          </w:p>
        </w:tc>
      </w:tr>
      <w:tr w14:paraId="01644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8E8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3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BF4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接地电阻测试</w:t>
            </w: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C37D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1、电力装置的接地电阻不宜大于10Ω</w:t>
            </w:r>
          </w:p>
        </w:tc>
      </w:tr>
      <w:tr w14:paraId="5267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4946A">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3A87C">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F21C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2、低压线路每处重复接地装置的接地电阻不宜大于10Ω</w:t>
            </w:r>
          </w:p>
        </w:tc>
      </w:tr>
      <w:tr w14:paraId="0E535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72725">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B1F28E">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3018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3、专设接地装置时其接地电阻不宜大于4Ω</w:t>
            </w:r>
          </w:p>
        </w:tc>
      </w:tr>
      <w:tr w14:paraId="25F3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82396">
            <w:pPr>
              <w:jc w:val="center"/>
              <w:rPr>
                <w:rFonts w:hint="eastAsia" w:ascii="宋体" w:hAnsi="宋体" w:eastAsia="宋体" w:cs="宋体"/>
                <w:i w:val="0"/>
                <w:iCs w:val="0"/>
                <w:color w:val="000000"/>
                <w:sz w:val="18"/>
                <w:szCs w:val="18"/>
                <w:u w:val="none"/>
              </w:rPr>
            </w:pPr>
          </w:p>
        </w:tc>
        <w:tc>
          <w:tcPr>
            <w:tcW w:w="83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A79D2F">
            <w:pPr>
              <w:jc w:val="center"/>
              <w:rPr>
                <w:rFonts w:hint="eastAsia" w:ascii="宋体" w:hAnsi="宋体" w:eastAsia="宋体" w:cs="宋体"/>
                <w:i w:val="0"/>
                <w:iCs w:val="0"/>
                <w:color w:val="000000"/>
                <w:sz w:val="18"/>
                <w:szCs w:val="18"/>
                <w:u w:val="none"/>
              </w:rPr>
            </w:pPr>
          </w:p>
        </w:tc>
        <w:tc>
          <w:tcPr>
            <w:tcW w:w="333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1FE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4、采用共用接地时其接地电阻值不应大于1Ω</w:t>
            </w:r>
          </w:p>
        </w:tc>
      </w:tr>
    </w:tbl>
    <w:p w14:paraId="1A0A9DF1">
      <w:pPr>
        <w:pStyle w:val="2"/>
        <w:ind w:firstLine="482" w:firstLineChars="200"/>
        <w:rPr>
          <w:rFonts w:hint="eastAsia" w:ascii="宋体" w:hAnsi="宋体" w:eastAsia="宋体" w:cs="宋体"/>
          <w:b/>
          <w:bCs/>
          <w:color w:val="000000" w:themeColor="text1"/>
          <w:lang w:val="en-US" w:eastAsia="zh-CN"/>
          <w14:textFill>
            <w14:solidFill>
              <w14:schemeClr w14:val="tx1"/>
            </w14:solidFill>
          </w14:textFill>
        </w:rPr>
      </w:pPr>
      <w:r>
        <w:rPr>
          <w:rFonts w:hint="eastAsia" w:ascii="宋体" w:hAnsi="宋体" w:eastAsia="宋体" w:cs="宋体"/>
          <w:b/>
          <w:bCs/>
          <w:color w:val="000000" w:themeColor="text1"/>
          <w:lang w:val="en-US" w:eastAsia="zh-CN"/>
          <w14:textFill>
            <w14:solidFill>
              <w14:schemeClr w14:val="tx1"/>
            </w14:solidFill>
          </w14:textFill>
        </w:rPr>
        <w:t>检测过程中若发现楼栋主配电室有孔洞未封堵，中标方需自备防火泥等材料进行封堵。</w:t>
      </w:r>
    </w:p>
    <w:p w14:paraId="6E5ADA23">
      <w:pPr>
        <w:spacing w:line="440" w:lineRule="exact"/>
        <w:rPr>
          <w:rFonts w:hint="eastAsia" w:ascii="宋体" w:hAnsi="宋体" w:eastAsia="宋体"/>
          <w:b/>
          <w:bCs/>
          <w:color w:val="000000" w:themeColor="text1"/>
          <w:sz w:val="24"/>
          <w:lang w:val="en-US" w:eastAsia="zh-CN"/>
          <w14:textFill>
            <w14:solidFill>
              <w14:schemeClr w14:val="tx1"/>
            </w14:solidFill>
          </w14:textFill>
        </w:rPr>
      </w:pPr>
      <w:bookmarkStart w:id="49" w:name="_Toc394319916"/>
      <w:bookmarkStart w:id="50" w:name="_Toc358109805"/>
      <w:bookmarkStart w:id="51" w:name="_Toc425276504"/>
      <w:bookmarkStart w:id="52" w:name="_Toc416379639"/>
      <w:bookmarkStart w:id="53" w:name="_Toc57451666"/>
      <w:bookmarkStart w:id="54" w:name="_Toc478753855"/>
      <w:r>
        <w:rPr>
          <w:rFonts w:hint="eastAsia" w:ascii="宋体" w:hAnsi="宋体"/>
          <w:b/>
          <w:bCs/>
          <w:color w:val="000000" w:themeColor="text1"/>
          <w:sz w:val="24"/>
          <w:lang w:val="en-US" w:eastAsia="zh-CN"/>
          <w14:textFill>
            <w14:solidFill>
              <w14:schemeClr w14:val="tx1"/>
            </w14:solidFill>
          </w14:textFill>
        </w:rPr>
        <w:t>二</w:t>
      </w:r>
      <w:r>
        <w:rPr>
          <w:rFonts w:hint="eastAsia" w:ascii="宋体" w:hAnsi="宋体"/>
          <w:b/>
          <w:bCs/>
          <w:color w:val="000000" w:themeColor="text1"/>
          <w:sz w:val="24"/>
          <w14:textFill>
            <w14:solidFill>
              <w14:schemeClr w14:val="tx1"/>
            </w14:solidFill>
          </w14:textFill>
        </w:rPr>
        <w:t>、</w:t>
      </w:r>
      <w:r>
        <w:rPr>
          <w:rFonts w:hint="eastAsia" w:ascii="宋体" w:hAnsi="宋体"/>
          <w:b/>
          <w:bCs/>
          <w:color w:val="000000" w:themeColor="text1"/>
          <w:sz w:val="24"/>
          <w:lang w:eastAsia="zh-CN"/>
          <w14:textFill>
            <w14:solidFill>
              <w14:schemeClr w14:val="tx1"/>
            </w14:solidFill>
          </w14:textFill>
        </w:rPr>
        <w:t>项目验收</w:t>
      </w:r>
    </w:p>
    <w:bookmarkEnd w:id="49"/>
    <w:bookmarkEnd w:id="50"/>
    <w:p w14:paraId="0D7CC17A">
      <w:pPr>
        <w:spacing w:line="440" w:lineRule="exact"/>
        <w:ind w:firstLine="480" w:firstLineChars="200"/>
        <w:rPr>
          <w:rFonts w:hint="eastAsia" w:hAnsi="宋体" w:eastAsia="宋体"/>
          <w:color w:val="auto"/>
          <w:sz w:val="24"/>
          <w:lang w:val="en-US" w:eastAsia="zh-CN"/>
        </w:rPr>
      </w:pPr>
      <w:bookmarkStart w:id="55" w:name="_Toc430269287"/>
      <w:bookmarkStart w:id="56" w:name="_Toc394319918"/>
      <w:bookmarkStart w:id="57" w:name="_Toc285393068"/>
      <w:bookmarkStart w:id="58" w:name="_Toc430269118"/>
      <w:bookmarkStart w:id="59" w:name="_Toc358109807"/>
      <w:bookmarkStart w:id="60" w:name="_Toc491700052"/>
      <w:bookmarkStart w:id="61" w:name="_Toc394319917"/>
      <w:bookmarkStart w:id="62" w:name="_Toc358109806"/>
      <w:r>
        <w:rPr>
          <w:rFonts w:hint="eastAsia" w:hAnsi="宋体" w:eastAsia="宋体"/>
          <w:color w:val="auto"/>
          <w:sz w:val="24"/>
          <w:lang w:val="en-US" w:eastAsia="zh-CN"/>
        </w:rPr>
        <w:t>（一）验收标准</w:t>
      </w:r>
    </w:p>
    <w:p w14:paraId="01506182">
      <w:pPr>
        <w:spacing w:line="440" w:lineRule="exact"/>
        <w:ind w:firstLine="480" w:firstLineChars="200"/>
        <w:rPr>
          <w:rFonts w:hint="eastAsia" w:hAnsi="宋体"/>
          <w:color w:val="auto"/>
          <w:sz w:val="24"/>
          <w:lang w:val="en-US" w:eastAsia="zh-CN"/>
        </w:rPr>
      </w:pPr>
      <w:r>
        <w:rPr>
          <w:rFonts w:hint="eastAsia" w:hAnsi="宋体"/>
          <w:color w:val="auto"/>
          <w:sz w:val="24"/>
          <w:lang w:val="en-US" w:eastAsia="zh-CN"/>
        </w:rPr>
        <w:t>中标人按照</w:t>
      </w:r>
      <w:r>
        <w:rPr>
          <w:rFonts w:hint="eastAsia" w:ascii="宋体" w:hAnsi="宋体" w:cs="宋体"/>
          <w:kern w:val="0"/>
          <w:sz w:val="24"/>
        </w:rPr>
        <w:t>招标文件、投标文件、合同等相关文件执行</w:t>
      </w:r>
      <w:r>
        <w:rPr>
          <w:rFonts w:hint="eastAsia" w:hAnsi="宋体"/>
          <w:color w:val="auto"/>
          <w:sz w:val="24"/>
          <w:lang w:val="en-US" w:eastAsia="zh-CN"/>
        </w:rPr>
        <w:t>，完成对所有建筑的建筑电气消防安全检测，封堵楼栋主配电室的孔洞，出具相关的检测报告。</w:t>
      </w:r>
    </w:p>
    <w:p w14:paraId="42CE25A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7041FBAD">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w:t>
      </w:r>
      <w:r>
        <w:rPr>
          <w:rFonts w:hint="eastAsia" w:hAnsi="宋体"/>
          <w:color w:val="auto"/>
          <w:sz w:val="24"/>
          <w:lang w:val="en-US" w:eastAsia="zh-CN"/>
        </w:rPr>
        <w:t>中标</w:t>
      </w:r>
      <w:r>
        <w:rPr>
          <w:rFonts w:hint="eastAsia" w:hAnsi="宋体" w:eastAsia="宋体"/>
          <w:color w:val="auto"/>
          <w:sz w:val="24"/>
          <w:lang w:val="en-US" w:eastAsia="zh-CN"/>
        </w:rPr>
        <w:t>人需</w:t>
      </w:r>
      <w:r>
        <w:rPr>
          <w:rFonts w:hint="eastAsia" w:hAnsi="宋体"/>
          <w:color w:val="auto"/>
          <w:sz w:val="24"/>
          <w:lang w:val="en-US" w:eastAsia="zh-CN"/>
        </w:rPr>
        <w:t>提前制定检测计划</w:t>
      </w:r>
      <w:r>
        <w:rPr>
          <w:rFonts w:hint="eastAsia" w:hAnsi="宋体" w:eastAsia="宋体"/>
          <w:color w:val="auto"/>
          <w:sz w:val="24"/>
          <w:lang w:val="en-US" w:eastAsia="zh-CN"/>
        </w:rPr>
        <w:t>，</w:t>
      </w:r>
      <w:r>
        <w:rPr>
          <w:rFonts w:hint="eastAsia" w:hAnsi="宋体"/>
          <w:color w:val="auto"/>
          <w:sz w:val="24"/>
          <w:lang w:val="en-US" w:eastAsia="zh-CN"/>
        </w:rPr>
        <w:t>检测</w:t>
      </w:r>
      <w:r>
        <w:rPr>
          <w:rFonts w:hint="eastAsia" w:hAnsi="宋体" w:eastAsia="宋体"/>
          <w:color w:val="auto"/>
          <w:sz w:val="24"/>
          <w:lang w:val="en-US" w:eastAsia="zh-CN"/>
        </w:rPr>
        <w:t>计划应经采购人认可后实施。</w:t>
      </w:r>
    </w:p>
    <w:p w14:paraId="14901F76">
      <w:pPr>
        <w:spacing w:line="440" w:lineRule="exact"/>
        <w:ind w:firstLine="480" w:firstLineChars="200"/>
        <w:rPr>
          <w:rFonts w:hint="eastAsia" w:hAnsi="宋体"/>
          <w:b/>
          <w:bCs/>
          <w:color w:val="FF0000"/>
          <w:sz w:val="24"/>
          <w:lang w:val="en-US" w:eastAsia="zh-CN"/>
        </w:rPr>
      </w:pPr>
      <w:r>
        <w:rPr>
          <w:rFonts w:hint="eastAsia" w:hAnsi="宋体"/>
          <w:color w:val="auto"/>
          <w:sz w:val="24"/>
          <w:lang w:val="en-US" w:eastAsia="zh-CN"/>
        </w:rPr>
        <w:t>2</w:t>
      </w:r>
      <w:r>
        <w:rPr>
          <w:rFonts w:hint="eastAsia" w:hAnsi="宋体" w:eastAsia="宋体"/>
          <w:color w:val="auto"/>
          <w:sz w:val="24"/>
          <w:lang w:val="en-US" w:eastAsia="zh-CN"/>
        </w:rPr>
        <w:t>、最终验收：</w:t>
      </w:r>
      <w:r>
        <w:rPr>
          <w:rFonts w:hint="eastAsia" w:hAnsi="宋体"/>
          <w:color w:val="auto"/>
          <w:sz w:val="24"/>
          <w:lang w:val="en-US" w:eastAsia="zh-CN"/>
        </w:rPr>
        <w:t>中标人在检测服务结束后，向采购人提出验收请求并提交完整的检测资料，含建筑电气消防安全检测报告、孔洞封堵记录表、检测现场照片等。采购人对所采购检测服务的主要指标进行验收，</w:t>
      </w:r>
      <w:r>
        <w:rPr>
          <w:rFonts w:hint="eastAsia" w:ascii="宋体" w:hAnsi="宋体" w:cs="宋体"/>
          <w:kern w:val="0"/>
          <w:sz w:val="24"/>
        </w:rPr>
        <w:t>验收合格后签发《验收报告》；验收不合格，或乙方提供的</w:t>
      </w:r>
      <w:r>
        <w:rPr>
          <w:rFonts w:hint="eastAsia" w:ascii="宋体" w:hAnsi="宋体" w:cs="宋体"/>
          <w:kern w:val="0"/>
          <w:sz w:val="24"/>
          <w:lang w:eastAsia="zh-CN"/>
        </w:rPr>
        <w:t>检测</w:t>
      </w:r>
      <w:r>
        <w:rPr>
          <w:rFonts w:hint="eastAsia" w:ascii="宋体" w:hAnsi="宋体" w:cs="宋体"/>
          <w:kern w:val="0"/>
          <w:sz w:val="24"/>
        </w:rPr>
        <w:t>服务未能满足招标文件和投标文件规定要求，验收将不予通过。</w:t>
      </w:r>
    </w:p>
    <w:p w14:paraId="7D662F17">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5"/>
    <w:bookmarkEnd w:id="56"/>
    <w:bookmarkEnd w:id="57"/>
    <w:bookmarkEnd w:id="58"/>
    <w:bookmarkEnd w:id="59"/>
    <w:bookmarkEnd w:id="60"/>
    <w:p w14:paraId="6D30185F">
      <w:pPr>
        <w:spacing w:line="440" w:lineRule="exact"/>
        <w:ind w:firstLine="480" w:firstLineChars="200"/>
        <w:rPr>
          <w:rFonts w:hint="eastAsia" w:hAnsi="宋体"/>
          <w:b/>
          <w:bCs/>
          <w:color w:val="auto"/>
          <w:sz w:val="24"/>
        </w:rPr>
      </w:pPr>
      <w:bookmarkStart w:id="63"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5C519FA1">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4085E41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25416FB8">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在服务期限内，应严格按照《中华人民共和国</w:t>
      </w:r>
      <w:bookmarkStart w:id="96" w:name="_GoBack"/>
      <w:bookmarkEnd w:id="96"/>
      <w:r>
        <w:rPr>
          <w:rFonts w:hint="eastAsia" w:ascii="宋体" w:hAnsi="宋体" w:cs="宋体"/>
          <w:color w:val="auto"/>
          <w:sz w:val="24"/>
          <w:highlight w:val="none"/>
        </w:rPr>
        <w:t>劳动法》的规定用工，签订用工劳务合同，并按规定为工人购买人身意外保险及相关的劳动保险，承包期间发生的一切安全责任事故及造成第三者伤害责任的，均由成交供应商承担。</w:t>
      </w:r>
    </w:p>
    <w:p w14:paraId="30B2AC88">
      <w:pPr>
        <w:spacing w:line="440" w:lineRule="exact"/>
        <w:rPr>
          <w:rFonts w:hint="eastAsia" w:ascii="宋体" w:hAnsi="宋体"/>
          <w:b/>
          <w:color w:val="000000" w:themeColor="text1"/>
          <w:kern w:val="0"/>
          <w:sz w:val="24"/>
          <w:lang w:val="en-US" w:eastAsia="zh-CN"/>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四、检测地点及时间</w:t>
      </w:r>
    </w:p>
    <w:p w14:paraId="252B59CB">
      <w:pPr>
        <w:spacing w:line="44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完成签订合同后，中标人需在30天内</w:t>
      </w:r>
      <w:r>
        <w:rPr>
          <w:rFonts w:hint="eastAsia" w:ascii="宋体" w:hAnsi="宋体" w:eastAsia="宋体" w:cs="宋体"/>
          <w:color w:val="auto"/>
          <w:sz w:val="24"/>
          <w:szCs w:val="24"/>
          <w:lang w:val="en-US" w:eastAsia="zh-CN"/>
        </w:rPr>
        <w:t>按照</w:t>
      </w:r>
      <w:r>
        <w:rPr>
          <w:rFonts w:hint="eastAsia" w:ascii="宋体" w:hAnsi="宋体" w:eastAsia="宋体" w:cs="宋体"/>
          <w:kern w:val="0"/>
          <w:sz w:val="24"/>
          <w:szCs w:val="24"/>
        </w:rPr>
        <w:t>招标文件、投标文件、合同等相关文件</w:t>
      </w:r>
      <w:r>
        <w:rPr>
          <w:rFonts w:hint="eastAsia" w:ascii="宋体" w:hAnsi="宋体" w:eastAsia="宋体" w:cs="宋体"/>
          <w:color w:val="auto"/>
          <w:sz w:val="24"/>
          <w:szCs w:val="24"/>
          <w:lang w:val="en-US" w:eastAsia="zh-CN"/>
        </w:rPr>
        <w:t>，完成对所有建筑的建筑电气</w:t>
      </w:r>
      <w:r>
        <w:rPr>
          <w:rFonts w:hint="eastAsia" w:ascii="宋体" w:hAnsi="宋体" w:cs="宋体"/>
          <w:color w:val="auto"/>
          <w:sz w:val="24"/>
          <w:szCs w:val="24"/>
          <w:lang w:val="en-US" w:eastAsia="zh-CN"/>
        </w:rPr>
        <w:t>消防</w:t>
      </w:r>
      <w:r>
        <w:rPr>
          <w:rFonts w:hint="eastAsia" w:ascii="宋体" w:hAnsi="宋体" w:eastAsia="宋体" w:cs="宋体"/>
          <w:color w:val="auto"/>
          <w:sz w:val="24"/>
          <w:szCs w:val="24"/>
          <w:lang w:val="en-US" w:eastAsia="zh-CN"/>
        </w:rPr>
        <w:t>安全检测，封堵楼栋主配电室的孔洞，出具相关的检测报告。检测地点为泉州师范学院主校区和泉州师范学院南安校区。</w:t>
      </w:r>
    </w:p>
    <w:p w14:paraId="4077A74B">
      <w:pPr>
        <w:pStyle w:val="2"/>
        <w:rPr>
          <w:rFonts w:hint="default"/>
          <w:lang w:val="en-US" w:eastAsia="zh-CN"/>
        </w:rPr>
      </w:pPr>
    </w:p>
    <w:p w14:paraId="0A3FF758">
      <w:pPr>
        <w:spacing w:line="440" w:lineRule="exact"/>
        <w:rPr>
          <w:rFonts w:hint="eastAsia" w:ascii="宋体" w:hAnsi="宋体"/>
          <w:b/>
          <w:color w:val="FF0000"/>
          <w:kern w:val="0"/>
          <w:sz w:val="24"/>
          <w:lang w:val="en-US" w:eastAsia="zh-CN"/>
        </w:rPr>
      </w:pPr>
    </w:p>
    <w:p w14:paraId="46481D72">
      <w:pPr>
        <w:spacing w:line="440" w:lineRule="exact"/>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五</w:t>
      </w:r>
      <w:r>
        <w:rPr>
          <w:rFonts w:ascii="宋体" w:hAnsi="宋体"/>
          <w:b/>
          <w:color w:val="000000" w:themeColor="text1"/>
          <w:kern w:val="0"/>
          <w:sz w:val="24"/>
          <w14:textFill>
            <w14:solidFill>
              <w14:schemeClr w14:val="tx1"/>
            </w14:solidFill>
          </w14:textFill>
        </w:rPr>
        <w:t>、付款方式</w:t>
      </w:r>
    </w:p>
    <w:p w14:paraId="0AD60C52">
      <w:pPr>
        <w:adjustRightInd w:val="0"/>
        <w:snapToGrid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付款：最终验收合格后</w:t>
      </w:r>
      <w:r>
        <w:rPr>
          <w:rFonts w:hint="eastAsia" w:ascii="宋体" w:hAnsi="宋体" w:eastAsia="宋体" w:cs="宋体"/>
          <w:color w:val="auto"/>
          <w:kern w:val="2"/>
          <w:sz w:val="24"/>
          <w:szCs w:val="24"/>
          <w:highlight w:val="none"/>
          <w:lang w:val="en-US" w:eastAsia="zh-CN" w:bidi="ar-SA"/>
        </w:rPr>
        <w:t>并收到税务发票后，采购人</w:t>
      </w:r>
      <w:r>
        <w:rPr>
          <w:rFonts w:hint="eastAsia" w:ascii="宋体" w:hAnsi="宋体" w:eastAsia="宋体" w:cs="宋体"/>
          <w:kern w:val="0"/>
          <w:sz w:val="24"/>
          <w:szCs w:val="24"/>
        </w:rPr>
        <w:t>30日内付清100%货款。</w:t>
      </w:r>
    </w:p>
    <w:p w14:paraId="6C941A2D">
      <w:pPr>
        <w:adjustRightInd w:val="0"/>
        <w:snapToGrid w:val="0"/>
        <w:spacing w:line="360" w:lineRule="auto"/>
        <w:ind w:firstLine="480" w:firstLineChars="200"/>
        <w:rPr>
          <w:rFonts w:hint="eastAsia" w:ascii="宋体" w:hAnsi="宋体" w:eastAsia="宋体" w:cs="宋体"/>
          <w:b/>
          <w:color w:val="FF0000"/>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color w:val="auto"/>
          <w:sz w:val="24"/>
          <w:szCs w:val="24"/>
        </w:rPr>
        <w:t>投标人、收款单位、购货票证开票单位三者应一致，</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收款</w:t>
      </w:r>
      <w:r>
        <w:rPr>
          <w:rFonts w:hint="eastAsia" w:ascii="宋体" w:hAnsi="宋体" w:cs="宋体"/>
          <w:color w:val="auto"/>
          <w:sz w:val="24"/>
          <w:szCs w:val="24"/>
          <w:lang w:eastAsia="zh-CN"/>
        </w:rPr>
        <w:t>账</w:t>
      </w:r>
      <w:r>
        <w:rPr>
          <w:rFonts w:hint="eastAsia" w:ascii="宋体" w:hAnsi="宋体" w:eastAsia="宋体" w:cs="宋体"/>
          <w:color w:val="auto"/>
          <w:sz w:val="24"/>
          <w:szCs w:val="24"/>
        </w:rPr>
        <w:t>号应为中国人民银行批准的</w:t>
      </w:r>
      <w:r>
        <w:rPr>
          <w:rFonts w:hint="eastAsia" w:ascii="宋体" w:hAnsi="宋体" w:cs="宋体"/>
          <w:color w:val="auto"/>
          <w:sz w:val="24"/>
          <w:szCs w:val="24"/>
          <w:lang w:eastAsia="zh-CN"/>
        </w:rPr>
        <w:t>账</w:t>
      </w:r>
      <w:r>
        <w:rPr>
          <w:rFonts w:hint="eastAsia" w:ascii="宋体" w:hAnsi="宋体" w:eastAsia="宋体" w:cs="宋体"/>
          <w:color w:val="auto"/>
          <w:sz w:val="24"/>
          <w:szCs w:val="24"/>
        </w:rPr>
        <w:t>户。</w:t>
      </w:r>
    </w:p>
    <w:bookmarkEnd w:id="51"/>
    <w:bookmarkEnd w:id="52"/>
    <w:bookmarkEnd w:id="53"/>
    <w:bookmarkEnd w:id="54"/>
    <w:bookmarkEnd w:id="61"/>
    <w:bookmarkEnd w:id="62"/>
    <w:bookmarkEnd w:id="63"/>
    <w:p w14:paraId="25D7DC33">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14:paraId="1C64BDAA">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79A1238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7408062">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14:paraId="64B18203">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BA05CB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10278439">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06F583E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7293D81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2E1ACD88">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2155ED6B">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3AA8A108">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0285CB32">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4E94C623">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47"/>
    <w:bookmarkEnd w:id="48"/>
    <w:p w14:paraId="08E9939D">
      <w:pPr>
        <w:pStyle w:val="16"/>
        <w:rPr>
          <w:rFonts w:hint="eastAsia"/>
          <w:color w:val="auto"/>
          <w:highlight w:val="none"/>
          <w:lang w:eastAsia="zh-CN"/>
        </w:rPr>
      </w:pPr>
    </w:p>
    <w:p w14:paraId="6DF585DD">
      <w:pPr>
        <w:pStyle w:val="3"/>
        <w:spacing w:before="120" w:after="120" w:line="400" w:lineRule="exact"/>
        <w:jc w:val="center"/>
        <w:rPr>
          <w:rFonts w:hint="eastAsia" w:ascii="宋体" w:hAnsi="宋体" w:eastAsia="宋体"/>
          <w:color w:val="auto"/>
          <w:szCs w:val="32"/>
          <w:highlight w:val="none"/>
        </w:rPr>
      </w:pPr>
      <w:bookmarkStart w:id="64" w:name="_Toc1683"/>
      <w:r>
        <w:rPr>
          <w:rFonts w:hint="eastAsia" w:ascii="宋体" w:hAnsi="宋体" w:eastAsia="宋体"/>
          <w:color w:val="auto"/>
          <w:szCs w:val="32"/>
          <w:highlight w:val="none"/>
        </w:rPr>
        <w:br w:type="page"/>
      </w:r>
      <w:bookmarkStart w:id="65" w:name="_Toc29063"/>
      <w:bookmarkStart w:id="66"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4"/>
      <w:bookmarkEnd w:id="65"/>
      <w:bookmarkEnd w:id="66"/>
    </w:p>
    <w:p w14:paraId="1E4C61A4">
      <w:pPr>
        <w:spacing w:line="360" w:lineRule="auto"/>
        <w:rPr>
          <w:rFonts w:hint="eastAsia" w:ascii="宋体" w:hAnsi="宋体"/>
          <w:b/>
          <w:color w:val="auto"/>
          <w:sz w:val="28"/>
          <w:szCs w:val="28"/>
          <w:highlight w:val="none"/>
        </w:rPr>
      </w:pPr>
    </w:p>
    <w:p w14:paraId="638ACCDC">
      <w:pPr>
        <w:spacing w:line="360" w:lineRule="auto"/>
        <w:jc w:val="center"/>
        <w:rPr>
          <w:rFonts w:hint="eastAsia" w:ascii="宋体" w:hAnsi="宋体"/>
          <w:b/>
          <w:color w:val="auto"/>
          <w:sz w:val="72"/>
          <w:highlight w:val="none"/>
        </w:rPr>
      </w:pPr>
    </w:p>
    <w:p w14:paraId="58618D08">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4C371000">
      <w:pPr>
        <w:spacing w:line="360" w:lineRule="auto"/>
        <w:jc w:val="center"/>
        <w:outlineLvl w:val="9"/>
        <w:rPr>
          <w:rFonts w:hint="eastAsia" w:ascii="宋体" w:hAnsi="宋体"/>
          <w:b/>
          <w:color w:val="auto"/>
          <w:sz w:val="36"/>
          <w:highlight w:val="none"/>
        </w:rPr>
      </w:pPr>
    </w:p>
    <w:p w14:paraId="75DA8809">
      <w:pPr>
        <w:spacing w:line="360" w:lineRule="auto"/>
        <w:jc w:val="center"/>
        <w:outlineLvl w:val="9"/>
        <w:rPr>
          <w:rFonts w:hint="eastAsia" w:ascii="宋体" w:hAnsi="宋体"/>
          <w:b/>
          <w:color w:val="auto"/>
          <w:sz w:val="36"/>
          <w:highlight w:val="none"/>
        </w:rPr>
      </w:pPr>
    </w:p>
    <w:p w14:paraId="7A258C36">
      <w:pPr>
        <w:spacing w:line="360" w:lineRule="auto"/>
        <w:jc w:val="center"/>
        <w:outlineLvl w:val="9"/>
        <w:rPr>
          <w:rFonts w:hint="eastAsia" w:ascii="宋体" w:hAnsi="宋体"/>
          <w:b/>
          <w:color w:val="auto"/>
          <w:sz w:val="36"/>
          <w:highlight w:val="none"/>
        </w:rPr>
      </w:pPr>
    </w:p>
    <w:p w14:paraId="73C3DBD5">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eastAsia="宋体" w:cs="宋体"/>
          <w:b/>
          <w:bCs/>
          <w:i w:val="0"/>
          <w:iCs w:val="0"/>
          <w:caps w:val="0"/>
          <w:color w:val="333333"/>
          <w:spacing w:val="0"/>
          <w:sz w:val="36"/>
          <w:szCs w:val="36"/>
          <w:u w:val="single"/>
          <w:shd w:val="clear" w:fill="FFFFFF"/>
        </w:rPr>
        <w:t>HQZCCG202400</w:t>
      </w:r>
      <w:r>
        <w:rPr>
          <w:rFonts w:hint="eastAsia" w:ascii="宋体" w:hAnsi="宋体" w:eastAsia="宋体" w:cs="宋体"/>
          <w:b/>
          <w:bCs/>
          <w:i w:val="0"/>
          <w:iCs w:val="0"/>
          <w:caps w:val="0"/>
          <w:color w:val="333333"/>
          <w:spacing w:val="0"/>
          <w:sz w:val="36"/>
          <w:szCs w:val="36"/>
          <w:u w:val="single"/>
          <w:shd w:val="clear" w:fill="FFFFFF"/>
          <w:lang w:val="en-US" w:eastAsia="zh-CN"/>
        </w:rPr>
        <w:t>3</w:t>
      </w:r>
      <w:r>
        <w:rPr>
          <w:rFonts w:hint="eastAsia" w:ascii="宋体" w:hAnsi="宋体"/>
          <w:b/>
          <w:color w:val="auto"/>
          <w:sz w:val="36"/>
          <w:highlight w:val="none"/>
          <w:u w:val="single"/>
        </w:rPr>
        <w:t xml:space="preserve"> </w:t>
      </w:r>
    </w:p>
    <w:p w14:paraId="66FC81D9">
      <w:pPr>
        <w:spacing w:line="360" w:lineRule="auto"/>
        <w:ind w:left="1436" w:leftChars="684" w:firstLine="173" w:firstLineChars="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szCs w:val="36"/>
          <w:highlight w:val="none"/>
          <w:u w:val="single"/>
          <w:lang w:val="en-US" w:eastAsia="zh-CN"/>
        </w:rPr>
        <w:t>2024年泉州师范学院建筑电气消防安全检测服务采购项目</w:t>
      </w:r>
    </w:p>
    <w:p w14:paraId="3F590E71">
      <w:pPr>
        <w:spacing w:line="360" w:lineRule="auto"/>
        <w:outlineLvl w:val="9"/>
        <w:rPr>
          <w:rFonts w:hint="eastAsia" w:ascii="宋体" w:hAnsi="宋体"/>
          <w:color w:val="auto"/>
          <w:sz w:val="28"/>
          <w:szCs w:val="28"/>
          <w:highlight w:val="none"/>
        </w:rPr>
      </w:pPr>
    </w:p>
    <w:p w14:paraId="14258B34">
      <w:pPr>
        <w:pStyle w:val="14"/>
        <w:rPr>
          <w:rFonts w:hint="eastAsia"/>
          <w:color w:val="auto"/>
          <w:highlight w:val="none"/>
        </w:rPr>
      </w:pPr>
    </w:p>
    <w:p w14:paraId="403EF2C2">
      <w:pPr>
        <w:spacing w:line="360" w:lineRule="auto"/>
        <w:rPr>
          <w:rFonts w:hint="eastAsia" w:ascii="宋体" w:hAnsi="宋体"/>
          <w:b/>
          <w:color w:val="auto"/>
          <w:sz w:val="36"/>
          <w:highlight w:val="none"/>
        </w:rPr>
      </w:pPr>
    </w:p>
    <w:p w14:paraId="46285DAE">
      <w:pPr>
        <w:pStyle w:val="14"/>
        <w:rPr>
          <w:rFonts w:hint="eastAsia"/>
          <w:color w:val="auto"/>
          <w:highlight w:val="none"/>
        </w:rPr>
      </w:pPr>
    </w:p>
    <w:p w14:paraId="190DDA62">
      <w:pPr>
        <w:spacing w:line="360" w:lineRule="auto"/>
        <w:outlineLvl w:val="9"/>
        <w:rPr>
          <w:rFonts w:hint="eastAsia" w:ascii="宋体" w:hAnsi="宋体"/>
          <w:b/>
          <w:color w:val="auto"/>
          <w:sz w:val="36"/>
          <w:highlight w:val="none"/>
        </w:rPr>
      </w:pPr>
    </w:p>
    <w:p w14:paraId="0983D9A0">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1A9FB3B9">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7FAFE9C0">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706C8AB3">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C3C68C0">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6401B1C">
      <w:pPr>
        <w:pStyle w:val="14"/>
        <w:rPr>
          <w:rFonts w:hint="eastAsia"/>
          <w:color w:val="auto"/>
          <w:highlight w:val="none"/>
        </w:rPr>
      </w:pPr>
    </w:p>
    <w:p w14:paraId="482A6258">
      <w:pPr>
        <w:rPr>
          <w:rFonts w:hint="eastAsia"/>
          <w:color w:val="auto"/>
          <w:highlight w:val="none"/>
        </w:rPr>
      </w:pPr>
    </w:p>
    <w:p w14:paraId="59E4504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8733AA1">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67" w:name="_Toc29646"/>
      <w:bookmarkStart w:id="68" w:name="_Toc14215"/>
      <w:bookmarkStart w:id="69" w:name="_Toc12112"/>
      <w:bookmarkStart w:id="70" w:name="_Toc1376"/>
      <w:bookmarkStart w:id="71" w:name="_Toc502907889"/>
      <w:bookmarkStart w:id="72" w:name="_Toc373141305"/>
      <w:bookmarkStart w:id="73" w:name="_Toc372013039"/>
      <w:bookmarkStart w:id="74" w:name="_Toc393727156"/>
      <w:bookmarkStart w:id="75" w:name="_Toc432513145"/>
      <w:bookmarkStart w:id="76" w:name="_Toc160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67"/>
      <w:bookmarkEnd w:id="68"/>
      <w:bookmarkEnd w:id="69"/>
      <w:bookmarkEnd w:id="70"/>
    </w:p>
    <w:p w14:paraId="6E1D177A">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8427DC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泉州师范学院后勤管理处      </w:t>
      </w:r>
    </w:p>
    <w:p w14:paraId="7FCFE9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b w:val="0"/>
          <w:bCs w:val="0"/>
          <w:color w:val="auto"/>
          <w:sz w:val="24"/>
          <w:szCs w:val="24"/>
          <w:highlight w:val="none"/>
          <w:u w:val="single"/>
        </w:rPr>
        <w:t xml:space="preserve">  </w:t>
      </w:r>
      <w:r>
        <w:rPr>
          <w:rFonts w:hint="eastAsia" w:ascii="宋体" w:hAnsi="宋体"/>
          <w:b w:val="0"/>
          <w:bCs w:val="0"/>
          <w:color w:val="auto"/>
          <w:sz w:val="24"/>
          <w:szCs w:val="24"/>
          <w:highlight w:val="none"/>
          <w:u w:val="single"/>
          <w:lang w:val="en-US" w:eastAsia="zh-CN"/>
        </w:rPr>
        <w:t>2024年泉州师范学院建筑电气消防安全检测服务采购项目（</w:t>
      </w:r>
      <w:r>
        <w:rPr>
          <w:rFonts w:hint="eastAsia" w:ascii="宋体" w:hAnsi="宋体" w:eastAsia="宋体" w:cs="宋体"/>
          <w:b w:val="0"/>
          <w:bCs w:val="0"/>
          <w:i w:val="0"/>
          <w:iCs w:val="0"/>
          <w:caps w:val="0"/>
          <w:color w:val="333333"/>
          <w:spacing w:val="0"/>
          <w:sz w:val="24"/>
          <w:szCs w:val="24"/>
          <w:u w:val="single"/>
          <w:shd w:val="clear" w:fill="FFFFFF"/>
        </w:rPr>
        <w:t>HQZCCG202400</w:t>
      </w:r>
      <w:r>
        <w:rPr>
          <w:rFonts w:hint="eastAsia" w:ascii="宋体" w:hAnsi="宋体" w:eastAsia="宋体" w:cs="宋体"/>
          <w:b w:val="0"/>
          <w:bCs w:val="0"/>
          <w:i w:val="0"/>
          <w:iCs w:val="0"/>
          <w:caps w:val="0"/>
          <w:color w:val="333333"/>
          <w:spacing w:val="0"/>
          <w:sz w:val="24"/>
          <w:szCs w:val="24"/>
          <w:u w:val="single"/>
          <w:shd w:val="clear" w:fill="FFFFFF"/>
          <w:lang w:val="en-US" w:eastAsia="zh-CN"/>
        </w:rPr>
        <w:t>3</w:t>
      </w:r>
      <w:r>
        <w:rPr>
          <w:rFonts w:hint="eastAsia" w:ascii="宋体" w:hAnsi="宋体"/>
          <w:b w:val="0"/>
          <w:bCs w:val="0"/>
          <w:color w:val="auto"/>
          <w:sz w:val="24"/>
          <w:szCs w:val="24"/>
          <w:highlight w:val="none"/>
          <w:u w:val="single"/>
          <w:lang w:val="en-US" w:eastAsia="zh-CN"/>
        </w:rPr>
        <w:t>）</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24DB7B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743842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67C25E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34281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6ECE03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3CC980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223E55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20B731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5EEC17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70128F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20C2D2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599968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7CB0B68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4E8674A9">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4DEDDF0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1688EB0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12DB265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2B17685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7E0B0077">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0358DDF1">
      <w:pPr>
        <w:pStyle w:val="16"/>
        <w:rPr>
          <w:rFonts w:hint="eastAsia"/>
          <w:color w:val="auto"/>
          <w:highlight w:val="none"/>
        </w:rPr>
      </w:pPr>
    </w:p>
    <w:p w14:paraId="38E72404">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185F9504">
      <w:pPr>
        <w:pStyle w:val="2"/>
        <w:rPr>
          <w:rFonts w:hint="eastAsia"/>
        </w:rPr>
      </w:pPr>
    </w:p>
    <w:p w14:paraId="6F65F655">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1"/>
      <w:bookmarkEnd w:id="72"/>
      <w:bookmarkEnd w:id="73"/>
      <w:bookmarkEnd w:id="74"/>
      <w:bookmarkEnd w:id="75"/>
      <w:bookmarkEnd w:id="76"/>
      <w:bookmarkStart w:id="77" w:name="_Toc20566"/>
      <w:bookmarkStart w:id="78" w:name="_Toc26916"/>
      <w:bookmarkStart w:id="79" w:name="_Toc4358"/>
      <w:bookmarkStart w:id="80" w:name="_Toc13976"/>
      <w:r>
        <w:rPr>
          <w:rFonts w:hint="eastAsia" w:ascii="宋体" w:hAnsi="宋体" w:eastAsia="宋体" w:cs="宋体"/>
          <w:b/>
          <w:color w:val="auto"/>
          <w:sz w:val="28"/>
          <w:szCs w:val="28"/>
          <w:highlight w:val="none"/>
        </w:rPr>
        <w:t>格式2                       报价一览表</w:t>
      </w:r>
      <w:bookmarkEnd w:id="77"/>
      <w:bookmarkEnd w:id="78"/>
      <w:bookmarkEnd w:id="79"/>
      <w:bookmarkEnd w:id="80"/>
    </w:p>
    <w:p w14:paraId="66876A7A">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781E6C5E">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6ECD9A41">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6DA8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1E957DA">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4AFE75A2">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665E5AB8">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2576B1A">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2BBF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607A0AB">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5C37D8EC">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019C7BAF">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2B88574B">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094EAD6">
      <w:pPr>
        <w:pStyle w:val="2"/>
        <w:rPr>
          <w:rFonts w:hint="eastAsia" w:ascii="宋体" w:hAnsi="宋体" w:eastAsia="宋体" w:cs="宋体"/>
          <w:color w:val="auto"/>
          <w:sz w:val="24"/>
          <w:szCs w:val="24"/>
          <w:highlight w:val="none"/>
          <w:u w:val="single"/>
        </w:rPr>
      </w:pPr>
    </w:p>
    <w:p w14:paraId="73AE88AD">
      <w:pPr>
        <w:pStyle w:val="2"/>
        <w:rPr>
          <w:rFonts w:hint="eastAsia" w:ascii="宋体" w:hAnsi="宋体" w:eastAsia="宋体" w:cs="宋体"/>
          <w:color w:val="auto"/>
          <w:sz w:val="24"/>
          <w:szCs w:val="24"/>
          <w:highlight w:val="none"/>
          <w:u w:val="single"/>
        </w:rPr>
      </w:pPr>
    </w:p>
    <w:p w14:paraId="213E9131">
      <w:pPr>
        <w:pStyle w:val="2"/>
        <w:rPr>
          <w:rFonts w:hint="eastAsia" w:ascii="宋体" w:hAnsi="宋体" w:eastAsia="宋体" w:cs="宋体"/>
          <w:color w:val="auto"/>
          <w:sz w:val="24"/>
          <w:szCs w:val="24"/>
          <w:highlight w:val="none"/>
          <w:u w:val="single"/>
        </w:rPr>
      </w:pPr>
    </w:p>
    <w:p w14:paraId="1D41840B">
      <w:pPr>
        <w:pStyle w:val="2"/>
        <w:rPr>
          <w:rFonts w:hint="eastAsia" w:ascii="宋体" w:hAnsi="宋体" w:eastAsia="宋体" w:cs="宋体"/>
          <w:color w:val="auto"/>
          <w:sz w:val="24"/>
          <w:szCs w:val="24"/>
          <w:highlight w:val="none"/>
          <w:u w:val="single"/>
        </w:rPr>
      </w:pPr>
    </w:p>
    <w:p w14:paraId="45C07B5A">
      <w:pPr>
        <w:pStyle w:val="2"/>
        <w:rPr>
          <w:rFonts w:hint="eastAsia" w:ascii="宋体" w:hAnsi="宋体" w:eastAsia="宋体" w:cs="宋体"/>
          <w:color w:val="auto"/>
          <w:sz w:val="24"/>
          <w:szCs w:val="24"/>
          <w:highlight w:val="none"/>
          <w:u w:val="single"/>
        </w:rPr>
      </w:pPr>
    </w:p>
    <w:p w14:paraId="4D5D07E1">
      <w:pPr>
        <w:spacing w:line="360" w:lineRule="auto"/>
        <w:ind w:firstLine="2400" w:firstLineChars="1000"/>
        <w:rPr>
          <w:rFonts w:hint="eastAsia" w:ascii="宋体" w:hAnsi="宋体" w:eastAsia="宋体" w:cs="宋体"/>
          <w:color w:val="auto"/>
          <w:sz w:val="24"/>
          <w:szCs w:val="24"/>
          <w:highlight w:val="none"/>
        </w:rPr>
      </w:pPr>
    </w:p>
    <w:p w14:paraId="3EDD468E">
      <w:pPr>
        <w:spacing w:line="360" w:lineRule="auto"/>
        <w:ind w:firstLine="2400" w:firstLineChars="1000"/>
        <w:rPr>
          <w:rFonts w:hint="eastAsia" w:ascii="宋体" w:hAnsi="宋体" w:eastAsia="宋体" w:cs="宋体"/>
          <w:color w:val="auto"/>
          <w:sz w:val="24"/>
          <w:szCs w:val="24"/>
          <w:highlight w:val="none"/>
        </w:rPr>
      </w:pPr>
    </w:p>
    <w:p w14:paraId="090B020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A68EEF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8230907">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71BA52A">
      <w:pPr>
        <w:spacing w:line="360" w:lineRule="auto"/>
        <w:rPr>
          <w:rFonts w:hint="eastAsia" w:ascii="宋体" w:hAnsi="宋体" w:eastAsia="宋体" w:cs="宋体"/>
          <w:color w:val="auto"/>
          <w:sz w:val="24"/>
          <w:szCs w:val="24"/>
          <w:highlight w:val="none"/>
        </w:rPr>
      </w:pPr>
    </w:p>
    <w:p w14:paraId="2C4787A0">
      <w:pPr>
        <w:spacing w:line="360" w:lineRule="auto"/>
        <w:rPr>
          <w:rFonts w:hint="eastAsia" w:ascii="宋体" w:hAnsi="宋体" w:eastAsia="宋体" w:cs="宋体"/>
          <w:color w:val="auto"/>
          <w:sz w:val="24"/>
          <w:szCs w:val="24"/>
          <w:highlight w:val="none"/>
        </w:rPr>
      </w:pPr>
    </w:p>
    <w:p w14:paraId="2AC97D21">
      <w:pPr>
        <w:rPr>
          <w:rFonts w:hint="eastAsia" w:ascii="宋体" w:hAnsi="宋体" w:eastAsia="宋体" w:cs="宋体"/>
          <w:color w:val="auto"/>
          <w:sz w:val="28"/>
          <w:szCs w:val="28"/>
          <w:highlight w:val="none"/>
        </w:rPr>
      </w:pPr>
    </w:p>
    <w:p w14:paraId="04C397AA">
      <w:pPr>
        <w:rPr>
          <w:rFonts w:hint="eastAsia" w:ascii="宋体" w:hAnsi="宋体" w:eastAsia="宋体" w:cs="宋体"/>
          <w:color w:val="auto"/>
          <w:sz w:val="28"/>
          <w:szCs w:val="28"/>
          <w:highlight w:val="none"/>
        </w:rPr>
      </w:pPr>
    </w:p>
    <w:p w14:paraId="2A01D5FD">
      <w:pPr>
        <w:rPr>
          <w:rFonts w:hint="eastAsia" w:ascii="宋体" w:hAnsi="宋体" w:eastAsia="宋体" w:cs="宋体"/>
          <w:color w:val="auto"/>
          <w:sz w:val="28"/>
          <w:szCs w:val="28"/>
          <w:highlight w:val="none"/>
        </w:rPr>
      </w:pPr>
    </w:p>
    <w:p w14:paraId="79B6E31D">
      <w:pPr>
        <w:rPr>
          <w:rFonts w:hint="eastAsia" w:ascii="宋体" w:hAnsi="宋体" w:eastAsia="宋体" w:cs="宋体"/>
          <w:color w:val="auto"/>
          <w:sz w:val="28"/>
          <w:szCs w:val="28"/>
          <w:highlight w:val="none"/>
        </w:rPr>
      </w:pPr>
    </w:p>
    <w:p w14:paraId="45378F14">
      <w:pPr>
        <w:pStyle w:val="16"/>
        <w:rPr>
          <w:rFonts w:hint="eastAsia" w:ascii="宋体" w:hAnsi="宋体" w:eastAsia="宋体" w:cs="宋体"/>
          <w:color w:val="auto"/>
          <w:sz w:val="28"/>
          <w:szCs w:val="28"/>
          <w:highlight w:val="none"/>
        </w:rPr>
      </w:pPr>
    </w:p>
    <w:p w14:paraId="425B0E40">
      <w:pPr>
        <w:pStyle w:val="16"/>
        <w:rPr>
          <w:rFonts w:hint="eastAsia" w:ascii="宋体" w:hAnsi="宋体" w:eastAsia="宋体" w:cs="宋体"/>
          <w:color w:val="auto"/>
          <w:sz w:val="28"/>
          <w:szCs w:val="28"/>
          <w:highlight w:val="none"/>
        </w:rPr>
      </w:pPr>
    </w:p>
    <w:p w14:paraId="6CBD7E09">
      <w:pPr>
        <w:pStyle w:val="16"/>
        <w:rPr>
          <w:rFonts w:hint="eastAsia" w:ascii="宋体" w:hAnsi="宋体" w:eastAsia="宋体" w:cs="宋体"/>
          <w:color w:val="auto"/>
          <w:sz w:val="28"/>
          <w:szCs w:val="28"/>
          <w:highlight w:val="none"/>
        </w:rPr>
      </w:pPr>
    </w:p>
    <w:p w14:paraId="27E0F613">
      <w:pPr>
        <w:pStyle w:val="16"/>
        <w:rPr>
          <w:rFonts w:hint="eastAsia" w:ascii="宋体" w:hAnsi="宋体" w:cs="宋体"/>
          <w:color w:val="auto"/>
          <w:sz w:val="28"/>
          <w:szCs w:val="28"/>
          <w:highlight w:val="none"/>
          <w:lang w:val="en-US" w:eastAsia="zh-CN"/>
        </w:rPr>
      </w:pPr>
    </w:p>
    <w:p w14:paraId="63F44DF5">
      <w:pPr>
        <w:spacing w:line="440" w:lineRule="exact"/>
        <w:jc w:val="both"/>
        <w:outlineLvl w:val="0"/>
        <w:rPr>
          <w:rFonts w:hint="eastAsia" w:ascii="宋体" w:hAnsi="宋体" w:eastAsia="宋体" w:cs="宋体"/>
          <w:b/>
          <w:color w:val="auto"/>
          <w:sz w:val="28"/>
          <w:szCs w:val="28"/>
          <w:highlight w:val="none"/>
        </w:rPr>
      </w:pPr>
      <w:bookmarkStart w:id="81" w:name="_Toc24019"/>
      <w:bookmarkStart w:id="82" w:name="_Toc24037"/>
      <w:bookmarkStart w:id="83" w:name="_Toc29026"/>
      <w:bookmarkStart w:id="84" w:name="_Toc102"/>
      <w:bookmarkStart w:id="85" w:name="_Toc432513149"/>
      <w:bookmarkStart w:id="86" w:name="_Toc393727163"/>
      <w:bookmarkStart w:id="87" w:name="_Toc373141312"/>
      <w:bookmarkStart w:id="88" w:name="_Toc23010"/>
      <w:bookmarkStart w:id="89" w:name="_Toc372013046"/>
      <w:bookmarkStart w:id="90" w:name="_Toc145132116"/>
      <w:bookmarkStart w:id="91" w:name="_Toc502907895"/>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3</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1"/>
      <w:bookmarkEnd w:id="82"/>
      <w:bookmarkEnd w:id="83"/>
      <w:bookmarkEnd w:id="84"/>
    </w:p>
    <w:p w14:paraId="36F153E1">
      <w:pPr>
        <w:spacing w:line="440" w:lineRule="exact"/>
        <w:ind w:firstLine="2940" w:firstLineChars="1046"/>
        <w:jc w:val="left"/>
        <w:rPr>
          <w:rFonts w:hint="eastAsia" w:ascii="宋体" w:hAnsi="宋体" w:eastAsia="宋体" w:cs="宋体"/>
          <w:b/>
          <w:color w:val="auto"/>
          <w:sz w:val="28"/>
          <w:szCs w:val="28"/>
          <w:highlight w:val="none"/>
        </w:rPr>
      </w:pPr>
    </w:p>
    <w:p w14:paraId="246046F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41BB4AEB">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274FBE8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183D052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658F227">
      <w:pPr>
        <w:spacing w:line="360" w:lineRule="auto"/>
        <w:ind w:firstLine="480" w:firstLineChars="200"/>
        <w:rPr>
          <w:rFonts w:hint="eastAsia" w:ascii="宋体" w:hAnsi="宋体" w:eastAsia="宋体" w:cs="宋体"/>
          <w:color w:val="auto"/>
          <w:sz w:val="24"/>
          <w:szCs w:val="24"/>
          <w:highlight w:val="none"/>
        </w:rPr>
      </w:pPr>
    </w:p>
    <w:p w14:paraId="147A71B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0862636E">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7782ABE8">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09173B1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55FEB3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EC72AE9">
      <w:pPr>
        <w:pStyle w:val="14"/>
        <w:rPr>
          <w:rFonts w:hint="eastAsia"/>
          <w:color w:val="auto"/>
          <w:highlight w:val="none"/>
        </w:rPr>
      </w:pPr>
    </w:p>
    <w:p w14:paraId="471C10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09890CDF">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03D12B2C">
      <w:pPr>
        <w:keepNext w:val="0"/>
        <w:keepLines w:val="0"/>
        <w:pageBreakBefore w:val="0"/>
        <w:widowControl w:val="0"/>
        <w:kinsoku/>
        <w:wordWrap/>
        <w:overflowPunct/>
        <w:topLinePunct w:val="0"/>
        <w:bidi w:val="0"/>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22FCA9DB">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合格有效的营业执照副本有效复印件；</w:t>
      </w:r>
    </w:p>
    <w:p w14:paraId="4446BD86">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法定代表人对</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1D160AF6">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法定代表人和</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7D4E446D">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谈判代表身份证正反面有效复印件；</w:t>
      </w:r>
    </w:p>
    <w:p w14:paraId="11E18BAA">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（5）提供2022年度经审计的财务报告或 2023年以来基本开户银行出具的资信证明；</w:t>
      </w:r>
    </w:p>
    <w:p w14:paraId="22854DBF">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（6）提供承诺书或人员、设备一览表；</w:t>
      </w:r>
    </w:p>
    <w:p w14:paraId="45C76995">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（7）提供2023年01月（含01月）后至今任意3个月依法缴纳社会保险的相关证明材料；提供2023年01月（含01月）后至今任意3个月依法缴纳税收的相关证明材料；</w:t>
      </w:r>
    </w:p>
    <w:p w14:paraId="6A107E14">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eastAsia="宋体" w:cs="宋体"/>
          <w:b/>
          <w:bCs/>
          <w:color w:val="auto"/>
          <w:sz w:val="24"/>
          <w:szCs w:val="24"/>
          <w:highlight w:val="none"/>
          <w:lang w:eastAsia="zh-CN"/>
        </w:rPr>
        <w:t>；</w:t>
      </w:r>
    </w:p>
    <w:p w14:paraId="4C8E97E4">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eastAsia="宋体"/>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cs="宋体"/>
          <w:sz w:val="24"/>
        </w:rPr>
        <w:t>谈判供应商须提供本项目招标公告发布日期之后通过“信用中国”网站(www.creditchina.gov.cn)、中国政府采购网(www.ccgp.gov.cn)查询其上述信用记录的信用信息查询结果网页打印件或截图(均须注明网址)</w:t>
      </w:r>
      <w:r>
        <w:rPr>
          <w:rFonts w:hint="eastAsia" w:ascii="宋体" w:hAnsi="宋体" w:cs="宋体"/>
          <w:sz w:val="24"/>
          <w:lang w:eastAsia="zh-CN"/>
        </w:rPr>
        <w:t>；</w:t>
      </w:r>
    </w:p>
    <w:p w14:paraId="7A9F6EB2">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电力工程施工总承包三级及以上资质、国家能源局颁发的</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承装（修、试）电力设施</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四级及以上许可证的复印件；</w:t>
      </w:r>
    </w:p>
    <w:p w14:paraId="5FD91703">
      <w:pPr>
        <w:keepNext w:val="0"/>
        <w:keepLines w:val="0"/>
        <w:pageBreakBefore w:val="0"/>
        <w:widowControl w:val="0"/>
        <w:kinsoku/>
        <w:wordWrap/>
        <w:overflowPunct/>
        <w:topLinePunct w:val="0"/>
        <w:bidi w:val="0"/>
        <w:snapToGrid/>
        <w:spacing w:line="240" w:lineRule="auto"/>
        <w:ind w:firstLine="360" w:firstLineChars="150"/>
        <w:textAlignment w:val="auto"/>
        <w:rPr>
          <w:rFonts w:hint="eastAsia" w:ascii="宋体" w:hAnsi="宋体" w:eastAsia="宋体" w:cs="宋体"/>
          <w:b w:val="0"/>
          <w:bCs w:val="0"/>
          <w:sz w:val="24"/>
          <w:szCs w:val="24"/>
          <w:lang w:val="en-US" w:eastAsia="zh-CN"/>
        </w:rPr>
      </w:pP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11</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对面积超过100000m2以上的项目进行过建筑电气消防安全检测，提供相关的合同复印件。</w:t>
      </w:r>
    </w:p>
    <w:p w14:paraId="5C9F3610">
      <w:pPr>
        <w:pStyle w:val="2"/>
        <w:rPr>
          <w:rFonts w:hint="default"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p>
    <w:p w14:paraId="138B25D8">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bookmarkEnd w:id="85"/>
    <w:bookmarkEnd w:id="86"/>
    <w:bookmarkEnd w:id="87"/>
    <w:bookmarkEnd w:id="88"/>
    <w:bookmarkEnd w:id="89"/>
    <w:bookmarkEnd w:id="90"/>
    <w:bookmarkEnd w:id="91"/>
    <w:p w14:paraId="001BAF12">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2" w:name="_Toc15327"/>
      <w:bookmarkStart w:id="93" w:name="_Toc30609"/>
      <w:bookmarkStart w:id="94" w:name="_Toc13141"/>
      <w:bookmarkStart w:id="95"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2"/>
      <w:bookmarkEnd w:id="93"/>
      <w:bookmarkEnd w:id="94"/>
      <w:bookmarkEnd w:id="95"/>
    </w:p>
    <w:p w14:paraId="60C8C1CE">
      <w:pPr>
        <w:spacing w:line="440" w:lineRule="exact"/>
        <w:rPr>
          <w:rFonts w:hint="eastAsia" w:ascii="宋体" w:hAnsi="宋体" w:eastAsia="宋体" w:cs="宋体"/>
          <w:b/>
          <w:color w:val="auto"/>
          <w:sz w:val="28"/>
          <w:szCs w:val="28"/>
          <w:highlight w:val="none"/>
        </w:rPr>
      </w:pPr>
    </w:p>
    <w:p w14:paraId="2AC0D1DA">
      <w:pPr>
        <w:spacing w:line="440" w:lineRule="exact"/>
        <w:rPr>
          <w:rFonts w:hint="eastAsia" w:ascii="宋体" w:hAnsi="宋体" w:eastAsia="宋体" w:cs="宋体"/>
          <w:b/>
          <w:color w:val="auto"/>
          <w:sz w:val="28"/>
          <w:szCs w:val="28"/>
          <w:highlight w:val="none"/>
        </w:rPr>
      </w:pPr>
    </w:p>
    <w:p w14:paraId="0379D96A">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06A30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698B9113">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1138190D">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B2768A2">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7ED87477">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7552047A">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4F414C03">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17ADB1C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6554CE25">
      <w:pPr>
        <w:spacing w:line="360" w:lineRule="auto"/>
        <w:rPr>
          <w:rFonts w:hint="eastAsia" w:ascii="宋体" w:hAnsi="宋体" w:eastAsia="宋体" w:cs="宋体"/>
          <w:b/>
          <w:color w:val="auto"/>
          <w:sz w:val="24"/>
          <w:szCs w:val="24"/>
          <w:highlight w:val="none"/>
        </w:rPr>
      </w:pPr>
    </w:p>
    <w:p w14:paraId="5EC57941">
      <w:pPr>
        <w:pStyle w:val="22"/>
        <w:spacing w:line="360" w:lineRule="auto"/>
        <w:ind w:right="560" w:firstLine="560"/>
        <w:jc w:val="center"/>
        <w:outlineLvl w:val="9"/>
        <w:rPr>
          <w:rFonts w:hint="eastAsia" w:ascii="宋体" w:hAnsi="宋体" w:eastAsia="宋体" w:cs="宋体"/>
          <w:color w:val="auto"/>
          <w:sz w:val="24"/>
          <w:szCs w:val="24"/>
          <w:highlight w:val="none"/>
        </w:rPr>
      </w:pPr>
    </w:p>
    <w:p w14:paraId="05D27434">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56369454">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84E04A8">
      <w:pPr>
        <w:spacing w:line="440" w:lineRule="exact"/>
        <w:outlineLvl w:val="9"/>
        <w:rPr>
          <w:rFonts w:hint="eastAsia" w:ascii="宋体" w:hAnsi="宋体" w:eastAsia="宋体" w:cs="宋体"/>
          <w:b/>
          <w:color w:val="auto"/>
          <w:sz w:val="28"/>
          <w:szCs w:val="28"/>
          <w:highlight w:val="none"/>
        </w:rPr>
      </w:pPr>
    </w:p>
    <w:p w14:paraId="2C785680">
      <w:pPr>
        <w:spacing w:line="440" w:lineRule="exact"/>
        <w:outlineLvl w:val="9"/>
        <w:rPr>
          <w:rFonts w:hint="eastAsia" w:ascii="宋体" w:hAnsi="宋体" w:eastAsia="宋体" w:cs="宋体"/>
          <w:b/>
          <w:color w:val="auto"/>
          <w:sz w:val="28"/>
          <w:szCs w:val="28"/>
          <w:highlight w:val="none"/>
        </w:rPr>
      </w:pPr>
    </w:p>
    <w:p w14:paraId="3B52106E">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5A190490">
      <w:pPr>
        <w:spacing w:line="440" w:lineRule="exact"/>
        <w:rPr>
          <w:rFonts w:hint="eastAsia" w:ascii="宋体" w:hAnsi="宋体" w:eastAsia="宋体" w:cs="宋体"/>
          <w:b/>
          <w:color w:val="auto"/>
          <w:sz w:val="28"/>
          <w:szCs w:val="28"/>
          <w:highlight w:val="none"/>
          <w:lang w:eastAsia="zh-CN"/>
        </w:rPr>
      </w:pPr>
    </w:p>
    <w:p w14:paraId="5E77C0AA">
      <w:pPr>
        <w:spacing w:line="440" w:lineRule="exact"/>
        <w:rPr>
          <w:rFonts w:hint="eastAsia" w:ascii="宋体" w:hAnsi="宋体" w:eastAsia="宋体" w:cs="宋体"/>
          <w:b/>
          <w:color w:val="auto"/>
          <w:sz w:val="28"/>
          <w:szCs w:val="28"/>
          <w:highlight w:val="none"/>
        </w:rPr>
      </w:pPr>
    </w:p>
    <w:p w14:paraId="529A0365">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BD5F828">
      <w:pPr>
        <w:spacing w:line="440" w:lineRule="exact"/>
        <w:rPr>
          <w:color w:val="auto"/>
          <w:highlight w:val="none"/>
        </w:rPr>
      </w:pPr>
    </w:p>
    <w:p w14:paraId="4EA2825B">
      <w:pPr>
        <w:pStyle w:val="2"/>
        <w:rPr>
          <w:color w:val="auto"/>
          <w:highlight w:val="none"/>
        </w:rPr>
      </w:pPr>
    </w:p>
    <w:p w14:paraId="5BF05B30">
      <w:pPr>
        <w:pStyle w:val="2"/>
        <w:rPr>
          <w:color w:val="auto"/>
          <w:highlight w:val="none"/>
        </w:rPr>
      </w:pPr>
    </w:p>
    <w:p w14:paraId="11910491">
      <w:pPr>
        <w:pStyle w:val="2"/>
        <w:rPr>
          <w:color w:val="auto"/>
          <w:highlight w:val="none"/>
        </w:rPr>
      </w:pPr>
    </w:p>
    <w:p w14:paraId="30DEEC8F">
      <w:pPr>
        <w:pStyle w:val="2"/>
        <w:rPr>
          <w:color w:val="auto"/>
          <w:highlight w:val="none"/>
        </w:rPr>
      </w:pPr>
    </w:p>
    <w:p w14:paraId="2F58C19D">
      <w:pPr>
        <w:pStyle w:val="2"/>
        <w:rPr>
          <w:color w:val="auto"/>
          <w:highlight w:val="none"/>
        </w:rPr>
      </w:pPr>
    </w:p>
    <w:p w14:paraId="24BA7FDA">
      <w:pPr>
        <w:pStyle w:val="2"/>
        <w:rPr>
          <w:color w:val="auto"/>
          <w:highlight w:val="none"/>
        </w:rPr>
      </w:pPr>
    </w:p>
    <w:p w14:paraId="1B8B18D7">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C350F5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222DC10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75D7E68F">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08A12D83">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5A510ADE">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0AD5CD0D">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0517C3DF">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BE626AE">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B195AC4">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CE53FD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7D162BB">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1F68E42">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E30734C">
      <w:pPr>
        <w:pStyle w:val="2"/>
        <w:rPr>
          <w:rFonts w:hint="default" w:asciiTheme="minorEastAsia" w:hAnsiTheme="minorEastAsia" w:eastAsiaTheme="minorEastAsia" w:cstheme="minorEastAsia"/>
          <w:color w:val="FF0000"/>
          <w:sz w:val="24"/>
          <w:highlight w:val="none"/>
          <w:lang w:val="en-US" w:eastAsia="zh-CN"/>
        </w:rPr>
      </w:pPr>
    </w:p>
    <w:p w14:paraId="1DFACF7D">
      <w:pPr>
        <w:pStyle w:val="2"/>
        <w:rPr>
          <w:rFonts w:hint="default" w:asciiTheme="minorEastAsia" w:hAnsiTheme="minorEastAsia" w:eastAsiaTheme="minorEastAsia" w:cstheme="minorEastAsia"/>
          <w:color w:val="FF0000"/>
          <w:sz w:val="24"/>
          <w:highlight w:val="none"/>
          <w:lang w:val="en-US" w:eastAsia="zh-CN"/>
        </w:rPr>
      </w:pPr>
    </w:p>
    <w:p w14:paraId="0CA00235">
      <w:pPr>
        <w:pStyle w:val="2"/>
        <w:rPr>
          <w:rFonts w:hint="default" w:asciiTheme="minorEastAsia" w:hAnsiTheme="minorEastAsia" w:eastAsiaTheme="minorEastAsia" w:cstheme="minorEastAsia"/>
          <w:color w:val="FF0000"/>
          <w:sz w:val="24"/>
          <w:highlight w:val="none"/>
          <w:lang w:val="en-US" w:eastAsia="zh-CN"/>
        </w:rPr>
      </w:pPr>
    </w:p>
    <w:p w14:paraId="36B58AE3">
      <w:pPr>
        <w:pStyle w:val="2"/>
        <w:rPr>
          <w:rFonts w:hint="default" w:asciiTheme="minorEastAsia" w:hAnsiTheme="minorEastAsia" w:eastAsiaTheme="minorEastAsia" w:cstheme="minorEastAsia"/>
          <w:color w:val="FF0000"/>
          <w:sz w:val="24"/>
          <w:highlight w:val="none"/>
          <w:lang w:val="en-US" w:eastAsia="zh-CN"/>
        </w:rPr>
      </w:pPr>
    </w:p>
    <w:p w14:paraId="6A34C5B4">
      <w:pPr>
        <w:pStyle w:val="2"/>
        <w:rPr>
          <w:rFonts w:hint="default" w:asciiTheme="minorEastAsia" w:hAnsiTheme="minorEastAsia" w:eastAsiaTheme="minorEastAsia" w:cstheme="minorEastAsia"/>
          <w:color w:val="FF0000"/>
          <w:sz w:val="24"/>
          <w:highlight w:val="none"/>
          <w:lang w:val="en-US" w:eastAsia="zh-CN"/>
        </w:rPr>
      </w:pPr>
    </w:p>
    <w:p w14:paraId="44F9F8C6">
      <w:pPr>
        <w:pStyle w:val="2"/>
        <w:rPr>
          <w:rFonts w:hint="default" w:asciiTheme="minorEastAsia" w:hAnsiTheme="minorEastAsia" w:eastAsiaTheme="minorEastAsia" w:cstheme="minorEastAsia"/>
          <w:color w:val="FF0000"/>
          <w:sz w:val="24"/>
          <w:highlight w:val="none"/>
          <w:lang w:val="en-US" w:eastAsia="zh-CN"/>
        </w:rPr>
      </w:pPr>
    </w:p>
    <w:p w14:paraId="1A4E30BF">
      <w:pPr>
        <w:pStyle w:val="2"/>
        <w:rPr>
          <w:rFonts w:hint="default" w:asciiTheme="minorEastAsia" w:hAnsiTheme="minorEastAsia" w:eastAsiaTheme="minorEastAsia" w:cstheme="minorEastAsia"/>
          <w:color w:val="FF0000"/>
          <w:sz w:val="24"/>
          <w:highlight w:val="none"/>
          <w:lang w:val="en-US" w:eastAsia="zh-CN"/>
        </w:rPr>
      </w:pPr>
    </w:p>
    <w:p w14:paraId="05D9C688">
      <w:pPr>
        <w:pStyle w:val="2"/>
        <w:rPr>
          <w:rFonts w:hint="default" w:asciiTheme="minorEastAsia" w:hAnsiTheme="minorEastAsia" w:eastAsiaTheme="minorEastAsia" w:cstheme="minorEastAsia"/>
          <w:color w:val="FF0000"/>
          <w:sz w:val="24"/>
          <w:highlight w:val="none"/>
          <w:lang w:val="en-US" w:eastAsia="zh-CN"/>
        </w:rPr>
      </w:pPr>
    </w:p>
    <w:p w14:paraId="6B31A5DA">
      <w:pPr>
        <w:pStyle w:val="2"/>
        <w:rPr>
          <w:rFonts w:hint="default" w:asciiTheme="minorEastAsia" w:hAnsiTheme="minorEastAsia" w:eastAsiaTheme="minorEastAsia" w:cstheme="minorEastAsia"/>
          <w:color w:val="FF0000"/>
          <w:sz w:val="24"/>
          <w:highlight w:val="none"/>
          <w:lang w:val="en-US" w:eastAsia="zh-CN"/>
        </w:rPr>
      </w:pPr>
    </w:p>
    <w:p w14:paraId="7532CB7B">
      <w:pPr>
        <w:pStyle w:val="2"/>
        <w:rPr>
          <w:rFonts w:hint="default" w:asciiTheme="minorEastAsia" w:hAnsiTheme="minorEastAsia" w:eastAsiaTheme="minorEastAsia" w:cstheme="minorEastAsia"/>
          <w:color w:val="FF0000"/>
          <w:sz w:val="24"/>
          <w:highlight w:val="none"/>
          <w:lang w:val="en-US" w:eastAsia="zh-CN"/>
        </w:rPr>
      </w:pPr>
    </w:p>
    <w:p w14:paraId="5471826E">
      <w:pPr>
        <w:pStyle w:val="2"/>
        <w:rPr>
          <w:rFonts w:hint="default" w:asciiTheme="minorEastAsia" w:hAnsiTheme="minorEastAsia" w:eastAsiaTheme="minorEastAsia" w:cstheme="minorEastAsia"/>
          <w:color w:val="FF0000"/>
          <w:sz w:val="24"/>
          <w:highlight w:val="none"/>
          <w:lang w:val="en-US" w:eastAsia="zh-CN"/>
        </w:rPr>
      </w:pPr>
    </w:p>
    <w:p w14:paraId="55B70D09">
      <w:pPr>
        <w:pStyle w:val="2"/>
        <w:rPr>
          <w:rFonts w:hint="default" w:asciiTheme="minorEastAsia" w:hAnsiTheme="minorEastAsia" w:eastAsiaTheme="minorEastAsia" w:cstheme="minorEastAsia"/>
          <w:color w:val="FF0000"/>
          <w:sz w:val="24"/>
          <w:highlight w:val="none"/>
          <w:lang w:val="en-US" w:eastAsia="zh-CN"/>
        </w:rPr>
      </w:pPr>
    </w:p>
    <w:p w14:paraId="3BFDB997">
      <w:pPr>
        <w:pStyle w:val="2"/>
        <w:rPr>
          <w:rFonts w:hint="default" w:asciiTheme="minorEastAsia" w:hAnsiTheme="minorEastAsia" w:eastAsiaTheme="minorEastAsia" w:cstheme="minorEastAsia"/>
          <w:color w:val="FF0000"/>
          <w:sz w:val="24"/>
          <w:highlight w:val="none"/>
          <w:lang w:val="en-US" w:eastAsia="zh-CN"/>
        </w:rPr>
      </w:pPr>
    </w:p>
    <w:p w14:paraId="28DD6AB3">
      <w:pPr>
        <w:pStyle w:val="2"/>
        <w:rPr>
          <w:rFonts w:hint="default" w:asciiTheme="minorEastAsia" w:hAnsiTheme="minorEastAsia" w:eastAsiaTheme="minorEastAsia" w:cstheme="minorEastAsia"/>
          <w:color w:val="FF0000"/>
          <w:sz w:val="24"/>
          <w:highlight w:val="none"/>
          <w:lang w:val="en-US" w:eastAsia="zh-CN"/>
        </w:rPr>
      </w:pPr>
    </w:p>
    <w:p w14:paraId="127C0AA6">
      <w:pPr>
        <w:pStyle w:val="2"/>
        <w:rPr>
          <w:rFonts w:hint="default" w:asciiTheme="minorEastAsia" w:hAnsiTheme="minorEastAsia" w:eastAsiaTheme="minorEastAsia" w:cstheme="minorEastAsia"/>
          <w:color w:val="FF0000"/>
          <w:sz w:val="24"/>
          <w:highlight w:val="none"/>
          <w:lang w:val="en-US" w:eastAsia="zh-CN"/>
        </w:rPr>
      </w:pPr>
    </w:p>
    <w:p w14:paraId="4ABC011F">
      <w:pPr>
        <w:pStyle w:val="2"/>
        <w:rPr>
          <w:rFonts w:hint="default" w:asciiTheme="minorEastAsia" w:hAnsiTheme="minorEastAsia" w:eastAsiaTheme="minorEastAsia" w:cstheme="minorEastAsia"/>
          <w:color w:val="FF0000"/>
          <w:sz w:val="24"/>
          <w:highlight w:val="none"/>
          <w:lang w:val="en-US" w:eastAsia="zh-CN"/>
        </w:rPr>
      </w:pPr>
    </w:p>
    <w:p w14:paraId="304C0F8C">
      <w:pPr>
        <w:pStyle w:val="2"/>
        <w:rPr>
          <w:rFonts w:hint="default" w:asciiTheme="minorEastAsia" w:hAnsiTheme="minorEastAsia" w:eastAsiaTheme="minorEastAsia" w:cstheme="minorEastAsia"/>
          <w:color w:val="FF0000"/>
          <w:sz w:val="24"/>
          <w:highlight w:val="none"/>
          <w:lang w:val="en-US" w:eastAsia="zh-CN"/>
        </w:rPr>
      </w:pPr>
    </w:p>
    <w:p w14:paraId="24491A39">
      <w:pPr>
        <w:pStyle w:val="2"/>
        <w:rPr>
          <w:rFonts w:hint="default" w:asciiTheme="minorEastAsia" w:hAnsiTheme="minorEastAsia" w:eastAsiaTheme="minorEastAsia" w:cstheme="minorEastAsia"/>
          <w:color w:val="FF0000"/>
          <w:sz w:val="24"/>
          <w:highlight w:val="none"/>
          <w:lang w:val="en-US" w:eastAsia="zh-CN"/>
        </w:rPr>
      </w:pPr>
    </w:p>
    <w:p w14:paraId="0619B1D6">
      <w:pPr>
        <w:pStyle w:val="2"/>
        <w:rPr>
          <w:rFonts w:hint="default" w:asciiTheme="minorEastAsia" w:hAnsiTheme="minorEastAsia" w:eastAsiaTheme="minorEastAsia" w:cstheme="minorEastAsia"/>
          <w:color w:val="FF0000"/>
          <w:sz w:val="24"/>
          <w:highlight w:val="none"/>
          <w:lang w:val="en-US" w:eastAsia="zh-CN"/>
        </w:rPr>
      </w:pPr>
    </w:p>
    <w:p w14:paraId="3B991459">
      <w:pPr>
        <w:pStyle w:val="2"/>
        <w:rPr>
          <w:rFonts w:hint="default" w:asciiTheme="minorEastAsia" w:hAnsiTheme="minorEastAsia" w:eastAsiaTheme="minorEastAsia" w:cstheme="minorEastAsia"/>
          <w:color w:val="FF0000"/>
          <w:sz w:val="24"/>
          <w:highlight w:val="none"/>
          <w:lang w:val="en-US" w:eastAsia="zh-CN"/>
        </w:rPr>
      </w:pPr>
    </w:p>
    <w:p w14:paraId="571F8D1F">
      <w:pPr>
        <w:pStyle w:val="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15E885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33AD9FCA">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19D9C6A3">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35E56">
    <w:pPr>
      <w:pStyle w:val="9"/>
      <w:framePr w:wrap="around" w:vAnchor="text" w:hAnchor="margin" w:xAlign="right" w:y="1"/>
      <w:rPr>
        <w:rStyle w:val="20"/>
      </w:rPr>
    </w:pPr>
    <w:r>
      <w:fldChar w:fldCharType="begin"/>
    </w:r>
    <w:r>
      <w:rPr>
        <w:rStyle w:val="20"/>
      </w:rPr>
      <w:instrText xml:space="preserve">PAGE  </w:instrText>
    </w:r>
    <w:r>
      <w:fldChar w:fldCharType="end"/>
    </w:r>
  </w:p>
  <w:p w14:paraId="374089E3">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52C226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50D6B423">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D8F2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61D8F20">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05FB8">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6105FB8">
                          <w:pPr>
                            <w:pStyle w:val="9"/>
                          </w:pPr>
                        </w:p>
                      </w:txbxContent>
                    </v:textbox>
                  </v:shape>
                </w:pict>
              </mc:Fallback>
            </mc:AlternateContent>
          </w:r>
        </w:p>
      </w:tc>
    </w:tr>
  </w:tbl>
  <w:p w14:paraId="4B9BA538">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58D11">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9AB2D">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589AB2D">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4F209">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OTY0ODUwY2NlYTc0YWNhYmRlMzYwODEzNGFjYzkifQ=="/>
  </w:docVars>
  <w:rsids>
    <w:rsidRoot w:val="59835B2E"/>
    <w:rsid w:val="00942756"/>
    <w:rsid w:val="034E4A21"/>
    <w:rsid w:val="053F11B2"/>
    <w:rsid w:val="0BAE4186"/>
    <w:rsid w:val="0E8D13D6"/>
    <w:rsid w:val="0F44355D"/>
    <w:rsid w:val="10615A49"/>
    <w:rsid w:val="115376E2"/>
    <w:rsid w:val="11F33019"/>
    <w:rsid w:val="16F7028D"/>
    <w:rsid w:val="173A664E"/>
    <w:rsid w:val="17881D03"/>
    <w:rsid w:val="189235AC"/>
    <w:rsid w:val="19162DBB"/>
    <w:rsid w:val="1A532D6C"/>
    <w:rsid w:val="1C4B3D8B"/>
    <w:rsid w:val="1D974856"/>
    <w:rsid w:val="1DD464FF"/>
    <w:rsid w:val="299802D6"/>
    <w:rsid w:val="29AD768A"/>
    <w:rsid w:val="2CEB06B4"/>
    <w:rsid w:val="2DC329B0"/>
    <w:rsid w:val="30550BE7"/>
    <w:rsid w:val="30EC4E63"/>
    <w:rsid w:val="32FB2F01"/>
    <w:rsid w:val="33C33694"/>
    <w:rsid w:val="3643461A"/>
    <w:rsid w:val="38641F41"/>
    <w:rsid w:val="395469C6"/>
    <w:rsid w:val="396B2D85"/>
    <w:rsid w:val="3B1925BB"/>
    <w:rsid w:val="3B2C5F1B"/>
    <w:rsid w:val="3B6C1D7D"/>
    <w:rsid w:val="3E002010"/>
    <w:rsid w:val="3F2E1764"/>
    <w:rsid w:val="451F1798"/>
    <w:rsid w:val="46F70250"/>
    <w:rsid w:val="4C1307C4"/>
    <w:rsid w:val="4C65575F"/>
    <w:rsid w:val="4C9808FB"/>
    <w:rsid w:val="4E487C6D"/>
    <w:rsid w:val="4F123E7A"/>
    <w:rsid w:val="55794C66"/>
    <w:rsid w:val="55CD64D1"/>
    <w:rsid w:val="55D751F9"/>
    <w:rsid w:val="56F67D48"/>
    <w:rsid w:val="58645FBE"/>
    <w:rsid w:val="59835B2E"/>
    <w:rsid w:val="5AE34496"/>
    <w:rsid w:val="5D654BBF"/>
    <w:rsid w:val="5D8A39D6"/>
    <w:rsid w:val="607C050A"/>
    <w:rsid w:val="677F3E55"/>
    <w:rsid w:val="68735896"/>
    <w:rsid w:val="69690D6B"/>
    <w:rsid w:val="6B7D3D34"/>
    <w:rsid w:val="6D3F5C0C"/>
    <w:rsid w:val="6E9A7D81"/>
    <w:rsid w:val="718F5027"/>
    <w:rsid w:val="726C6FA6"/>
    <w:rsid w:val="731E2BC7"/>
    <w:rsid w:val="736C78EA"/>
    <w:rsid w:val="73D2014D"/>
    <w:rsid w:val="780B365B"/>
    <w:rsid w:val="787F0A54"/>
    <w:rsid w:val="7A8A4362"/>
    <w:rsid w:val="7AFE4400"/>
    <w:rsid w:val="7C5E5F96"/>
    <w:rsid w:val="7CA02D78"/>
    <w:rsid w:val="7EEA0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autoRedefine/>
    <w:qFormat/>
    <w:uiPriority w:val="0"/>
    <w:pPr>
      <w:ind w:firstLine="420" w:firstLineChars="200"/>
    </w:p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rPr>
      <w:rFonts w:ascii="Calibri" w:hAnsi="Calibri" w:cs="Times New Roman"/>
    </w:rPr>
  </w:style>
  <w:style w:type="paragraph" w:styleId="8">
    <w:name w:val="Date"/>
    <w:basedOn w:val="1"/>
    <w:next w:val="1"/>
    <w:autoRedefine/>
    <w:qFormat/>
    <w:uiPriority w:val="0"/>
    <w:rPr>
      <w:sz w:val="28"/>
      <w:szCs w:val="2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autoRedefine/>
    <w:qFormat/>
    <w:uiPriority w:val="0"/>
    <w:pPr>
      <w:ind w:left="420" w:leftChars="200"/>
    </w:pPr>
  </w:style>
  <w:style w:type="paragraph" w:styleId="13">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autoRedefine/>
    <w:qFormat/>
    <w:uiPriority w:val="0"/>
    <w:pPr>
      <w:jc w:val="center"/>
    </w:pPr>
    <w:rPr>
      <w:rFonts w:ascii="Arial Black" w:hAnsi="Arial Black" w:cs="Arial Black"/>
      <w:i/>
      <w:iCs/>
      <w:kern w:val="2"/>
      <w:sz w:val="48"/>
      <w:szCs w:val="48"/>
    </w:rPr>
  </w:style>
  <w:style w:type="paragraph" w:styleId="15">
    <w:name w:val="annotation subject"/>
    <w:basedOn w:val="6"/>
    <w:next w:val="6"/>
    <w:autoRedefine/>
    <w:qFormat/>
    <w:uiPriority w:val="0"/>
    <w:rPr>
      <w:rFonts w:ascii="宋体" w:hAnsi="Courier New"/>
      <w:szCs w:val="20"/>
    </w:rPr>
  </w:style>
  <w:style w:type="paragraph" w:styleId="16">
    <w:name w:val="Body Text First Indent"/>
    <w:basedOn w:val="7"/>
    <w:autoRedefine/>
    <w:unhideWhenUsed/>
    <w:qFormat/>
    <w:uiPriority w:val="0"/>
    <w:pPr>
      <w:ind w:firstLine="420" w:firstLineChars="100"/>
    </w:pPr>
  </w:style>
  <w:style w:type="character" w:styleId="19">
    <w:name w:val="Strong"/>
    <w:basedOn w:val="18"/>
    <w:autoRedefine/>
    <w:qFormat/>
    <w:uiPriority w:val="0"/>
    <w:rPr>
      <w:b/>
    </w:rPr>
  </w:style>
  <w:style w:type="character" w:styleId="20">
    <w:name w:val="page number"/>
    <w:autoRedefine/>
    <w:qFormat/>
    <w:uiPriority w:val="0"/>
  </w:style>
  <w:style w:type="character" w:styleId="21">
    <w:name w:val="Hyperlink"/>
    <w:autoRedefine/>
    <w:qFormat/>
    <w:uiPriority w:val="99"/>
    <w:rPr>
      <w:color w:val="0000FF"/>
      <w:u w:val="single"/>
    </w:rPr>
  </w:style>
  <w:style w:type="paragraph" w:customStyle="1" w:styleId="22">
    <w:name w:val="ptdl"/>
    <w:basedOn w:val="1"/>
    <w:autoRedefine/>
    <w:qFormat/>
    <w:uiPriority w:val="0"/>
    <w:pPr>
      <w:spacing w:after="156"/>
      <w:ind w:firstLine="480"/>
    </w:pPr>
    <w:rPr>
      <w:sz w:val="24"/>
      <w:szCs w:val="20"/>
    </w:rPr>
  </w:style>
  <w:style w:type="paragraph" w:customStyle="1" w:styleId="23">
    <w:name w:val="WPSOffice手动目录 1"/>
    <w:autoRedefine/>
    <w:qFormat/>
    <w:uiPriority w:val="0"/>
    <w:pPr>
      <w:ind w:leftChars="0"/>
    </w:pPr>
    <w:rPr>
      <w:rFonts w:ascii="Times New Roman" w:hAnsi="Times New Roman" w:eastAsia="宋体" w:cs="Times New Roman"/>
      <w:sz w:val="20"/>
      <w:szCs w:val="20"/>
    </w:rPr>
  </w:style>
  <w:style w:type="paragraph" w:customStyle="1" w:styleId="24">
    <w:name w:val="WPSOffice手动目录 2"/>
    <w:autoRedefine/>
    <w:qFormat/>
    <w:uiPriority w:val="0"/>
    <w:pPr>
      <w:ind w:leftChars="200"/>
    </w:pPr>
    <w:rPr>
      <w:rFonts w:ascii="Times New Roman" w:hAnsi="Times New Roman" w:eastAsia="宋体" w:cs="Times New Roman"/>
      <w:sz w:val="20"/>
      <w:szCs w:val="20"/>
    </w:rPr>
  </w:style>
  <w:style w:type="character" w:customStyle="1" w:styleId="25">
    <w:name w:val="font112"/>
    <w:basedOn w:val="18"/>
    <w:autoRedefine/>
    <w:qFormat/>
    <w:uiPriority w:val="0"/>
    <w:rPr>
      <w:rFonts w:hint="eastAsia" w:ascii="宋体" w:hAnsi="宋体" w:eastAsia="宋体" w:cs="宋体"/>
      <w:b/>
      <w:bCs/>
      <w:color w:val="000000"/>
      <w:sz w:val="36"/>
      <w:szCs w:val="36"/>
      <w:u w:val="none"/>
    </w:rPr>
  </w:style>
  <w:style w:type="character" w:customStyle="1" w:styleId="26">
    <w:name w:val="font121"/>
    <w:basedOn w:val="18"/>
    <w:autoRedefine/>
    <w:qFormat/>
    <w:uiPriority w:val="0"/>
    <w:rPr>
      <w:rFonts w:hint="default" w:ascii="Times New Roman" w:hAnsi="Times New Roman" w:cs="Times New Roman"/>
      <w:color w:val="000000"/>
      <w:sz w:val="22"/>
      <w:szCs w:val="22"/>
      <w:u w:val="none"/>
    </w:rPr>
  </w:style>
  <w:style w:type="character" w:customStyle="1" w:styleId="27">
    <w:name w:val="font131"/>
    <w:basedOn w:val="18"/>
    <w:autoRedefine/>
    <w:qFormat/>
    <w:uiPriority w:val="0"/>
    <w:rPr>
      <w:rFonts w:hint="default" w:ascii="Times New Roman" w:hAnsi="Times New Roman" w:cs="Times New Roman"/>
      <w:color w:val="000000"/>
      <w:sz w:val="22"/>
      <w:szCs w:val="22"/>
      <w:u w:val="none"/>
      <w:vertAlign w:val="superscript"/>
    </w:rPr>
  </w:style>
  <w:style w:type="character" w:customStyle="1" w:styleId="28">
    <w:name w:val="font21"/>
    <w:basedOn w:val="18"/>
    <w:autoRedefine/>
    <w:qFormat/>
    <w:uiPriority w:val="0"/>
    <w:rPr>
      <w:rFonts w:hint="eastAsia" w:ascii="宋体" w:hAnsi="宋体" w:eastAsia="宋体" w:cs="宋体"/>
      <w:color w:val="000000"/>
      <w:sz w:val="22"/>
      <w:szCs w:val="22"/>
      <w:u w:val="none"/>
    </w:rPr>
  </w:style>
  <w:style w:type="character" w:customStyle="1" w:styleId="29">
    <w:name w:val="font11"/>
    <w:basedOn w:val="18"/>
    <w:autoRedefine/>
    <w:qFormat/>
    <w:uiPriority w:val="0"/>
    <w:rPr>
      <w:rFonts w:hint="eastAsia" w:ascii="宋体" w:hAnsi="宋体" w:eastAsia="宋体" w:cs="宋体"/>
      <w:color w:val="000000"/>
      <w:sz w:val="20"/>
      <w:szCs w:val="20"/>
      <w:u w:val="none"/>
    </w:rPr>
  </w:style>
  <w:style w:type="character" w:customStyle="1" w:styleId="30">
    <w:name w:val="font91"/>
    <w:basedOn w:val="18"/>
    <w:autoRedefine/>
    <w:qFormat/>
    <w:uiPriority w:val="0"/>
    <w:rPr>
      <w:rFonts w:hint="default" w:ascii="Times New Roman" w:hAnsi="Times New Roman" w:cs="Times New Roman"/>
      <w:color w:val="000000"/>
      <w:sz w:val="20"/>
      <w:szCs w:val="20"/>
      <w:u w:val="none"/>
    </w:rPr>
  </w:style>
  <w:style w:type="character" w:customStyle="1" w:styleId="31">
    <w:name w:val="font71"/>
    <w:basedOn w:val="18"/>
    <w:autoRedefine/>
    <w:qFormat/>
    <w:uiPriority w:val="0"/>
    <w:rPr>
      <w:rFonts w:hint="eastAsia" w:ascii="宋体" w:hAnsi="宋体" w:eastAsia="宋体" w:cs="宋体"/>
      <w:b/>
      <w:bCs/>
      <w:color w:val="000000"/>
      <w:sz w:val="44"/>
      <w:szCs w:val="44"/>
      <w:u w:val="none"/>
    </w:rPr>
  </w:style>
  <w:style w:type="character" w:customStyle="1" w:styleId="32">
    <w:name w:val="font81"/>
    <w:basedOn w:val="18"/>
    <w:autoRedefine/>
    <w:qFormat/>
    <w:uiPriority w:val="0"/>
    <w:rPr>
      <w:rFonts w:hint="default" w:ascii="Times New Roman" w:hAnsi="Times New Roman" w:cs="Times New Roman"/>
      <w:color w:val="000000"/>
      <w:sz w:val="22"/>
      <w:szCs w:val="22"/>
      <w:u w:val="none"/>
    </w:rPr>
  </w:style>
  <w:style w:type="character" w:customStyle="1" w:styleId="33">
    <w:name w:val="font41"/>
    <w:basedOn w:val="18"/>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3278</Words>
  <Characters>3662</Characters>
  <Lines>0</Lines>
  <Paragraphs>0</Paragraphs>
  <TotalTime>3</TotalTime>
  <ScaleCrop>false</ScaleCrop>
  <LinksUpToDate>false</LinksUpToDate>
  <CharactersWithSpaces>3923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庄毓明</cp:lastModifiedBy>
  <cp:lastPrinted>2021-11-24T07:21:00Z</cp:lastPrinted>
  <dcterms:modified xsi:type="dcterms:W3CDTF">2024-12-05T08:22:01Z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1D74DC218C9B4B4FA60CAE48B8569FF5</vt:lpwstr>
  </property>
</Properties>
</file>